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57912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Иркутской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ул. Российская, 17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664025, г.Иркутск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80"/>
        <w:jc w:val="left"/>
      </w:pPr>
      <w:r>
        <w:rPr>
          <w:rStyle w:val="CharStyle6"/>
        </w:rPr>
        <w:t>тел. (3952) 24-32-31, факс (3952) 24-32-26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1000"/>
        <w:jc w:val="both"/>
      </w:pP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"mailto:to38@fas.gov.ru"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to38@fas.gov.ru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8.08.2025</w:t>
        <w:tab/>
      </w:r>
      <w:r>
        <w:fldChar w:fldCharType="end"/>
      </w:r>
      <w:r>
        <w:rPr>
          <w:rStyle w:val="CharStyle10"/>
        </w:rPr>
        <w:t>№ 038/4994/25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b/>
          <w:bCs/>
          <w:sz w:val="24"/>
          <w:szCs w:val="24"/>
          <w:u w:val="single"/>
        </w:rPr>
        <w:t>Заказчик:</w:t>
      </w:r>
      <w:r>
        <w:rPr>
          <w:rStyle w:val="CharStyle12"/>
          <w:b/>
          <w:bCs/>
          <w:sz w:val="24"/>
          <w:szCs w:val="24"/>
        </w:rPr>
        <w:t xml:space="preserve"> </w:t>
      </w:r>
      <w:r>
        <w:rPr>
          <w:rStyle w:val="CharStyle12"/>
          <w:sz w:val="24"/>
          <w:szCs w:val="24"/>
        </w:rPr>
        <w:t xml:space="preserve">ОГБУЗ «ТАЙШЕТСКАЯ РБ» </w:t>
      </w:r>
      <w:r>
        <w:rPr>
          <w:rStyle w:val="CharStyle12"/>
          <w:sz w:val="24"/>
          <w:szCs w:val="24"/>
          <w:lang w:val="en-US" w:eastAsia="en-US"/>
        </w:rPr>
        <w:t xml:space="preserve">665008, </w:t>
      </w:r>
      <w:r>
        <w:rPr>
          <w:rStyle w:val="CharStyle12"/>
          <w:sz w:val="24"/>
          <w:szCs w:val="24"/>
        </w:rPr>
        <w:t xml:space="preserve">Иркутская обл, Тайшет г, Шевченко ул, Д. </w:t>
      </w:r>
      <w:r>
        <w:rPr>
          <w:rStyle w:val="CharStyle12"/>
          <w:sz w:val="24"/>
          <w:szCs w:val="24"/>
          <w:lang w:val="en-US" w:eastAsia="en-US"/>
        </w:rPr>
        <w:t>10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fldChar w:fldCharType="begin"/>
      </w:r>
      <w:r>
        <w:rPr/>
        <w:instrText> HYPERLINK "mailto:petrova_tcrb@bk.ru" </w:instrText>
      </w:r>
      <w:r>
        <w:fldChar w:fldCharType="separate"/>
      </w:r>
      <w:r>
        <w:rPr>
          <w:rStyle w:val="CharStyle12"/>
          <w:sz w:val="24"/>
          <w:szCs w:val="24"/>
          <w:u w:val="single"/>
          <w:lang w:val="en-US" w:eastAsia="en-US"/>
        </w:rPr>
        <w:t>petrova_tcrb@bk.ru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fldChar w:fldCharType="begin"/>
      </w:r>
      <w:r>
        <w:rPr/>
        <w:instrText> HYPERLINK "mailto:esemenova_tcrb@bk.ru" </w:instrText>
      </w:r>
      <w:r>
        <w:fldChar w:fldCharType="separate"/>
      </w:r>
      <w:r>
        <w:rPr>
          <w:rStyle w:val="CharStyle12"/>
          <w:sz w:val="24"/>
          <w:szCs w:val="24"/>
          <w:lang w:val="en-US" w:eastAsia="en-US"/>
        </w:rPr>
        <w:t>esemenova_tcrb@bk.ru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</w:rPr>
        <w:t>Заявитель: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</w:rPr>
        <w:t>ООО «Е-мед»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  <w:lang w:val="en-US" w:eastAsia="en-US"/>
        </w:rPr>
        <w:t xml:space="preserve">614025, </w:t>
      </w:r>
      <w:r>
        <w:rPr>
          <w:rStyle w:val="CharStyle12"/>
          <w:sz w:val="24"/>
          <w:szCs w:val="24"/>
        </w:rPr>
        <w:t>ПЕРМСКИЙ КРАЙ, г.о. ПЕРМСКИЙ,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</w:rPr>
        <w:t xml:space="preserve">Г ПЕРМЬ, УЛ ГЕРОЕВ ХАСАНА, Д. </w:t>
      </w:r>
      <w:r>
        <w:rPr>
          <w:rStyle w:val="CharStyle12"/>
          <w:sz w:val="24"/>
          <w:szCs w:val="24"/>
          <w:lang w:val="en-US" w:eastAsia="en-US"/>
        </w:rPr>
        <w:t xml:space="preserve">76, </w:t>
      </w:r>
      <w:r>
        <w:rPr>
          <w:rStyle w:val="CharStyle12"/>
          <w:sz w:val="24"/>
          <w:szCs w:val="24"/>
        </w:rPr>
        <w:t xml:space="preserve">ОФИС </w:t>
      </w:r>
      <w:r>
        <w:rPr>
          <w:rStyle w:val="CharStyle12"/>
          <w:sz w:val="24"/>
          <w:szCs w:val="24"/>
          <w:lang w:val="en-US" w:eastAsia="en-US"/>
        </w:rPr>
        <w:t>202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4"/>
          <w:szCs w:val="24"/>
        </w:rPr>
      </w:pPr>
      <w:r>
        <w:fldChar w:fldCharType="begin"/>
      </w:r>
      <w:r>
        <w:rPr/>
        <w:instrText> HYPERLINK "mailto:e-med@nikofarmperm.ru" </w:instrText>
      </w:r>
      <w:r>
        <w:fldChar w:fldCharType="separate"/>
      </w:r>
      <w:r>
        <w:rPr>
          <w:rStyle w:val="CharStyle12"/>
          <w:sz w:val="24"/>
          <w:szCs w:val="24"/>
          <w:lang w:val="en-US" w:eastAsia="en-US"/>
        </w:rPr>
        <w:t>e-med@nikofarmperm.ru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b/>
          <w:bCs/>
          <w:sz w:val="24"/>
          <w:szCs w:val="24"/>
          <w:u w:val="single"/>
        </w:rPr>
        <w:t>Оператор электронной площадки: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</w:rPr>
        <w:t>ООО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  <w:lang w:val="en-US" w:eastAsia="en-US"/>
        </w:rPr>
        <w:t xml:space="preserve">127006, </w:t>
      </w:r>
      <w:r>
        <w:rPr>
          <w:rStyle w:val="CharStyle12"/>
          <w:sz w:val="24"/>
          <w:szCs w:val="24"/>
        </w:rPr>
        <w:t xml:space="preserve">г. Москва, Шлюзовая наб, д. </w:t>
      </w:r>
      <w:r>
        <w:rPr>
          <w:rStyle w:val="CharStyle12"/>
          <w:sz w:val="24"/>
          <w:szCs w:val="24"/>
          <w:lang w:val="en-US" w:eastAsia="en-US"/>
        </w:rPr>
        <w:t xml:space="preserve">8, </w:t>
      </w:r>
      <w:r>
        <w:rPr>
          <w:rStyle w:val="CharStyle12"/>
          <w:sz w:val="24"/>
          <w:szCs w:val="24"/>
        </w:rPr>
        <w:t xml:space="preserve">стр. </w:t>
      </w:r>
      <w:r>
        <w:rPr>
          <w:rStyle w:val="CharStyle12"/>
          <w:sz w:val="24"/>
          <w:szCs w:val="24"/>
          <w:lang w:val="en-US" w:eastAsia="en-US"/>
        </w:rPr>
        <w:t xml:space="preserve">1, </w:t>
      </w:r>
      <w:r>
        <w:rPr>
          <w:rStyle w:val="CharStyle12"/>
          <w:sz w:val="24"/>
          <w:szCs w:val="24"/>
        </w:rPr>
        <w:t xml:space="preserve">оф. </w:t>
      </w:r>
      <w:r>
        <w:rPr>
          <w:rStyle w:val="CharStyle12"/>
          <w:sz w:val="24"/>
          <w:szCs w:val="24"/>
          <w:lang w:val="en-US" w:eastAsia="en-US"/>
        </w:rPr>
        <w:t>114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4" w:lineRule="exact"/>
        <w:ind w:left="0" w:right="0" w:firstLine="0"/>
        <w:jc w:val="left"/>
        <w:rPr>
          <w:sz w:val="24"/>
          <w:szCs w:val="2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719" w:bottom="1639" w:left="1241" w:header="0" w:footer="3" w:gutter="0"/>
          <w:pgNumType w:start="1"/>
          <w:cols w:num="2" w:space="720" w:equalWidth="0">
            <w:col w:w="4133" w:space="1027"/>
            <w:col w:w="4781"/>
          </w:cols>
          <w:noEndnote/>
          <w:rtlGutter w:val="0"/>
          <w:docGrid w:linePitch="360"/>
        </w:sectPr>
      </w:pPr>
      <w:r>
        <w:rPr>
          <w:rStyle w:val="CharStyle12"/>
          <w:rFonts w:ascii="MS Gothic" w:eastAsia="MS Gothic" w:hAnsi="MS Gothic" w:cs="MS Gothic"/>
          <w:sz w:val="24"/>
          <w:szCs w:val="24"/>
        </w:rPr>
        <w:t xml:space="preserve">и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sz w:val="24"/>
          <w:szCs w:val="24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8" w:right="0" w:bottom="150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  <w:i/>
          <w:iCs/>
        </w:rPr>
        <w:t>Резолютивная часть решения объявлена 28.08.2025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rStyle w:val="CharStyle12"/>
          <w:i/>
          <w:iCs/>
        </w:rPr>
        <w:t>Решение в полном объеме изготовлено 28.08.2025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Председатель Комиссии: И.И. Ларин – заместитель руководителя – начальник отдела контроля закупок;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Члены Комиссии: В.С. Ворошилов – заместитель начальника отдела контроля закупок., О.В. Караульская – ведущий специалист-эксперт отдела контроля закупок;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В отсутствие представителей, надлежащим образом уведомленного о времени и месте рассмотрения, ОГБУЗ «ТАЙШЕТСКАЯ РБ» (далее – Заказчик); Общество с ограниченной ответственностью «Е-мед» (далее – заявитель, участник закупки, общество);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93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рассмотрев жалобу заявителя на действия аукционной комиссии Заказчика при проведении запроса котировок в электронной форме «Поставка медицинских изделий», извещение</w:t>
        <w:tab/>
        <w:t>№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>0334300106825000141, в порядке, предусмотренном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– Федеральный закон № 44-ФЗ), Приказом ФАС России от 19.11.2014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Регламент ФАС),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В Иркутское УФАС России поступила жалоба заявителя на действия аукционной комиссии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В своей жалобе ООО «Е-мед» указывает, что действия аукционной комиссии заказчика основаны на ошибочном истолковании норм права.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Заказчиком представлены возражения на жалобу заявителя, исходя из которых считают доводы жалобы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Изучив представленные материалы, Комиссия Иркутского УФАС пришла к следующему выводу.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 xml:space="preserve">августа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 xml:space="preserve">года в единой информационной системе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ЕИС) размещено извещение </w:t>
      </w:r>
      <w:r>
        <w:rPr>
          <w:rStyle w:val="CharStyle12"/>
          <w:lang w:val="en-US" w:eastAsia="en-US"/>
        </w:rPr>
        <w:t xml:space="preserve">№ 0334300106825000141 </w:t>
      </w:r>
      <w:r>
        <w:rPr>
          <w:rStyle w:val="CharStyle12"/>
        </w:rPr>
        <w:t>«Поставка медицинских изделий».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Начальная (максимальная) цена контракта составляет </w:t>
      </w:r>
      <w:r>
        <w:rPr>
          <w:rStyle w:val="CharStyle12"/>
          <w:lang w:val="en-US" w:eastAsia="en-US"/>
        </w:rPr>
        <w:t xml:space="preserve">288 930 </w:t>
      </w:r>
      <w:r>
        <w:rPr>
          <w:rStyle w:val="CharStyle12"/>
        </w:rPr>
        <w:t xml:space="preserve">рублей </w:t>
      </w:r>
      <w:r>
        <w:rPr>
          <w:rStyle w:val="CharStyle12"/>
          <w:lang w:val="en-US" w:eastAsia="en-US"/>
        </w:rPr>
        <w:t xml:space="preserve">00 </w:t>
      </w:r>
      <w:r>
        <w:rPr>
          <w:rStyle w:val="CharStyle12"/>
        </w:rPr>
        <w:t>копеек.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Дата окончания подачи заявок </w:t>
      </w:r>
      <w:r>
        <w:rPr>
          <w:rStyle w:val="CharStyle12"/>
          <w:lang w:val="en-US" w:eastAsia="en-US"/>
        </w:rPr>
        <w:t xml:space="preserve">– 18 </w:t>
      </w:r>
      <w:r>
        <w:rPr>
          <w:rStyle w:val="CharStyle12"/>
        </w:rPr>
        <w:t xml:space="preserve">августа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>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По окончанию срока подачи заявок на участие в электронном аукционе поступило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заявок.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Согласно Протокол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19.08.2025 </w:t>
      </w:r>
      <w:r>
        <w:rPr>
          <w:rStyle w:val="CharStyle12"/>
        </w:rPr>
        <w:t>№ИЗК1 три заявки участников закупи были признаны несоответствующими требованиям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 соответствии с 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5" w:val="left"/>
        </w:tabs>
        <w:bidi w:val="0"/>
        <w:spacing w:before="0" w:after="280" w:line="240" w:lineRule="auto"/>
        <w:ind w:left="0" w:right="0" w:firstLine="760"/>
        <w:jc w:val="both"/>
      </w:pPr>
      <w:r>
        <w:rPr>
          <w:rStyle w:val="CharStyle12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настоящей статьи, присваиваются в порядке убывания размера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2"/>
          <w:lang w:val="en-US" w:eastAsia="en-US"/>
        </w:rPr>
        <w:t xml:space="preserve">1, 2, 4 - 7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 соответствии с подп. "в" п. </w:t>
      </w:r>
      <w:r>
        <w:rPr>
          <w:rStyle w:val="CharStyle12"/>
          <w:lang w:val="en-US" w:eastAsia="en-US"/>
        </w:rPr>
        <w:t xml:space="preserve">2)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закупки, в том числе документы, подтверждающие соответствие товара требованиям, установленным в соответствии с законодательством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Победителем закупки (заявка </w:t>
      </w:r>
      <w:r>
        <w:rPr>
          <w:rStyle w:val="CharStyle12"/>
          <w:lang w:val="en-US" w:eastAsia="en-US"/>
        </w:rPr>
        <w:t xml:space="preserve">№ 119453552) </w:t>
      </w:r>
      <w:r>
        <w:rPr>
          <w:rStyle w:val="CharStyle12"/>
        </w:rPr>
        <w:t>к поставке предложены следующие товары: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Позиция </w:t>
      </w:r>
      <w:r>
        <w:rPr>
          <w:rStyle w:val="CharStyle12"/>
          <w:lang w:val="en-US" w:eastAsia="en-US"/>
        </w:rPr>
        <w:t>1.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3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Наконечник пипетки, </w:t>
      </w:r>
      <w:r>
        <w:rPr>
          <w:rStyle w:val="CharStyle12"/>
          <w:lang w:val="en-US" w:eastAsia="en-US"/>
        </w:rPr>
        <w:t xml:space="preserve">32.50.13.190-00008537, 32.50.13.190. </w:t>
      </w:r>
      <w:r>
        <w:rPr>
          <w:rStyle w:val="CharStyle12"/>
          <w:b/>
          <w:bCs/>
        </w:rPr>
        <w:t>Диаметр посадочного конуса</w:t>
      </w:r>
      <w:r>
        <w:rPr>
          <w:rStyle w:val="CharStyle12"/>
        </w:rPr>
        <w:t xml:space="preserve">. Значение характеристики </w:t>
      </w:r>
      <w:r>
        <w:rPr>
          <w:rStyle w:val="CharStyle12"/>
          <w:b/>
          <w:bCs/>
        </w:rPr>
        <w:t xml:space="preserve">в извещении: </w:t>
      </w:r>
      <w:r>
        <w:rPr>
          <w:rStyle w:val="CharStyle12"/>
          <w:rFonts w:ascii="Arial" w:eastAsia="Arial" w:hAnsi="Arial" w:cs="Arial"/>
          <w:lang w:val="en-US" w:eastAsia="en-US"/>
        </w:rPr>
        <w:t xml:space="preserve">⩾ </w:t>
      </w:r>
      <w:r>
        <w:rPr>
          <w:rStyle w:val="CharStyle12"/>
          <w:b/>
          <w:bCs/>
          <w:lang w:val="en-US" w:eastAsia="en-US"/>
        </w:rPr>
        <w:t xml:space="preserve">7,90 </w:t>
      </w:r>
      <w:r>
        <w:rPr>
          <w:rStyle w:val="CharStyle12"/>
          <w:b/>
          <w:bCs/>
        </w:rPr>
        <w:t xml:space="preserve">и </w:t>
      </w:r>
      <w:r>
        <w:rPr>
          <w:rStyle w:val="CharStyle12"/>
          <w:rFonts w:ascii="Arial" w:eastAsia="Arial" w:hAnsi="Arial" w:cs="Arial"/>
          <w:lang w:val="en-US" w:eastAsia="en-US"/>
        </w:rPr>
        <w:t xml:space="preserve">⩽ </w:t>
      </w:r>
      <w:r>
        <w:rPr>
          <w:rStyle w:val="CharStyle12"/>
          <w:b/>
          <w:bCs/>
          <w:lang w:val="en-US" w:eastAsia="en-US"/>
        </w:rPr>
        <w:t>8,30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мм. </w:t>
      </w:r>
      <w:r>
        <w:rPr>
          <w:rStyle w:val="CharStyle12"/>
          <w:b/>
          <w:bCs/>
        </w:rPr>
        <w:t xml:space="preserve">Значение </w:t>
      </w:r>
      <w:r>
        <w:rPr>
          <w:rStyle w:val="CharStyle12"/>
        </w:rPr>
        <w:t xml:space="preserve">характеристики </w:t>
      </w:r>
      <w:r>
        <w:rPr>
          <w:rStyle w:val="CharStyle12"/>
          <w:b/>
          <w:bCs/>
        </w:rPr>
        <w:t xml:space="preserve">в заявке </w:t>
      </w:r>
      <w:r>
        <w:rPr>
          <w:rStyle w:val="CharStyle12"/>
        </w:rPr>
        <w:t xml:space="preserve">участника: </w:t>
      </w:r>
      <w:r>
        <w:rPr>
          <w:rStyle w:val="CharStyle12"/>
          <w:b/>
          <w:bCs/>
          <w:lang w:val="en-US" w:eastAsia="en-US"/>
        </w:rPr>
        <w:t xml:space="preserve">8,00 </w:t>
      </w:r>
      <w:r>
        <w:rPr>
          <w:rStyle w:val="CharStyle12"/>
        </w:rPr>
        <w:t>мм.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Выписка из реестра российской промышленной продукции </w:t>
      </w:r>
      <w:r>
        <w:rPr>
          <w:rStyle w:val="CharStyle12"/>
          <w:lang w:val="en-US" w:eastAsia="en-US"/>
        </w:rPr>
        <w:t xml:space="preserve">№ 10458195. </w:t>
      </w:r>
      <w:r>
        <w:rPr>
          <w:rStyle w:val="CharStyle12"/>
        </w:rPr>
        <w:t>АКЦИОНЕРНОЕ ОБЩЕСТВО «УЛАН-УДЭНСКОЕ ПРИБОРОСТРОИТЕЛЬНОЕ ПРОИЗВОДСТВЕННОЕ ОБЪЕДИНЕНИЕ».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 составе заявки содержится регистрационное удостоверение. В подтверждение приведенного показателя требуемой характеристики участником закупки в составе заявки представлено регистрационное удостоверение на медицинское изделие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2022/16879 </w:t>
      </w:r>
      <w:r>
        <w:rPr>
          <w:rStyle w:val="CharStyle12"/>
        </w:rPr>
        <w:t>от 11.04.2022г.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Согласно инструкции по применению медицинского изделия к РУ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2022/16879, </w:t>
      </w:r>
      <w:r>
        <w:rPr>
          <w:rStyle w:val="CharStyle12"/>
        </w:rPr>
        <w:t xml:space="preserve">размещенной на сайте Росздравнадзора, у предполагаемого к поставке товара указано: диаметр посадочный: </w:t>
      </w:r>
      <w:r>
        <w:rPr>
          <w:rStyle w:val="CharStyle12"/>
          <w:lang w:val="en-US" w:eastAsia="en-US"/>
        </w:rPr>
        <w:t>7,6 ± 1 0 %.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rStyle w:val="CharStyle12"/>
        </w:rPr>
        <w:t xml:space="preserve">Таким образом, согласно инструкции медицинского изделия, посадочный конус имеет диаметр от </w:t>
      </w:r>
      <w:r>
        <w:rPr>
          <w:rStyle w:val="CharStyle12"/>
          <w:lang w:val="en-US" w:eastAsia="en-US"/>
        </w:rPr>
        <w:t xml:space="preserve">6,84 </w:t>
      </w:r>
      <w:r>
        <w:rPr>
          <w:rStyle w:val="CharStyle12"/>
        </w:rPr>
        <w:t xml:space="preserve">до </w:t>
      </w:r>
      <w:r>
        <w:rPr>
          <w:rStyle w:val="CharStyle12"/>
          <w:lang w:val="en-US" w:eastAsia="en-US"/>
        </w:rPr>
        <w:t xml:space="preserve">8,36 </w:t>
      </w:r>
      <w:r>
        <w:rPr>
          <w:rStyle w:val="CharStyle12"/>
        </w:rPr>
        <w:t>мм, что соответствует положениям извещения данной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Позиция </w:t>
      </w:r>
      <w:r>
        <w:rPr>
          <w:rStyle w:val="CharStyle12"/>
          <w:lang w:val="en-US" w:eastAsia="en-US"/>
        </w:rPr>
        <w:t>2.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3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Наконечник пипетки, </w:t>
      </w:r>
      <w:r>
        <w:rPr>
          <w:rStyle w:val="CharStyle12"/>
          <w:lang w:val="en-US" w:eastAsia="en-US"/>
        </w:rPr>
        <w:t xml:space="preserve">32.50.13.190-00008526, 32.50.13.190. </w:t>
      </w:r>
      <w:r>
        <w:rPr>
          <w:rStyle w:val="CharStyle12"/>
          <w:b/>
          <w:bCs/>
        </w:rPr>
        <w:t>Диаметр посадочного конуса</w:t>
      </w:r>
      <w:r>
        <w:rPr>
          <w:rStyle w:val="CharStyle12"/>
        </w:rPr>
        <w:t xml:space="preserve">. Значение характеристики </w:t>
      </w:r>
      <w:r>
        <w:rPr>
          <w:rStyle w:val="CharStyle12"/>
          <w:b/>
          <w:bCs/>
        </w:rPr>
        <w:t xml:space="preserve">в извещении: </w:t>
      </w:r>
      <w:r>
        <w:rPr>
          <w:rStyle w:val="CharStyle12"/>
          <w:rFonts w:ascii="Arial" w:eastAsia="Arial" w:hAnsi="Arial" w:cs="Arial"/>
          <w:lang w:val="en-US" w:eastAsia="en-US"/>
        </w:rPr>
        <w:t xml:space="preserve">⩾ </w:t>
      </w:r>
      <w:r>
        <w:rPr>
          <w:rStyle w:val="CharStyle12"/>
          <w:b/>
          <w:bCs/>
          <w:lang w:val="en-US" w:eastAsia="en-US"/>
        </w:rPr>
        <w:t xml:space="preserve">5,00 </w:t>
      </w:r>
      <w:r>
        <w:rPr>
          <w:rStyle w:val="CharStyle12"/>
          <w:b/>
          <w:bCs/>
        </w:rPr>
        <w:t xml:space="preserve">и </w:t>
      </w:r>
      <w:r>
        <w:rPr>
          <w:rStyle w:val="CharStyle12"/>
          <w:rFonts w:ascii="Arial" w:eastAsia="Arial" w:hAnsi="Arial" w:cs="Arial"/>
          <w:lang w:val="en-US" w:eastAsia="en-US"/>
        </w:rPr>
        <w:t xml:space="preserve">⩽ </w:t>
      </w:r>
      <w:r>
        <w:rPr>
          <w:rStyle w:val="CharStyle12"/>
          <w:b/>
          <w:bCs/>
          <w:lang w:val="en-US" w:eastAsia="en-US"/>
        </w:rPr>
        <w:t>5,20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мм. </w:t>
      </w:r>
      <w:r>
        <w:rPr>
          <w:rStyle w:val="CharStyle12"/>
          <w:b/>
          <w:bCs/>
        </w:rPr>
        <w:t xml:space="preserve">Значение </w:t>
      </w:r>
      <w:r>
        <w:rPr>
          <w:rStyle w:val="CharStyle12"/>
        </w:rPr>
        <w:t xml:space="preserve">характеристики </w:t>
      </w:r>
      <w:r>
        <w:rPr>
          <w:rStyle w:val="CharStyle12"/>
          <w:b/>
          <w:bCs/>
        </w:rPr>
        <w:t xml:space="preserve">в заявке </w:t>
      </w:r>
      <w:r>
        <w:rPr>
          <w:rStyle w:val="CharStyle12"/>
        </w:rPr>
        <w:t xml:space="preserve">участника: </w:t>
      </w:r>
      <w:r>
        <w:rPr>
          <w:rStyle w:val="CharStyle12"/>
          <w:b/>
          <w:bCs/>
          <w:lang w:val="en-US" w:eastAsia="en-US"/>
        </w:rPr>
        <w:t xml:space="preserve">5,20 </w:t>
      </w:r>
      <w:r>
        <w:rPr>
          <w:rStyle w:val="CharStyle12"/>
        </w:rPr>
        <w:t xml:space="preserve">мм. Объем </w:t>
      </w:r>
      <w:r>
        <w:rPr>
          <w:rStyle w:val="CharStyle12"/>
          <w:lang w:val="en-US" w:eastAsia="en-US"/>
        </w:rPr>
        <w:t xml:space="preserve">200 </w:t>
      </w:r>
      <w:r>
        <w:rPr>
          <w:rStyle w:val="CharStyle12"/>
        </w:rPr>
        <w:t>мкл.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Выписка из реестра российской промышленной продукции </w:t>
      </w:r>
      <w:r>
        <w:rPr>
          <w:rStyle w:val="CharStyle12"/>
          <w:lang w:val="en-US" w:eastAsia="en-US"/>
        </w:rPr>
        <w:t xml:space="preserve">№ 10458196. </w:t>
      </w:r>
      <w:r>
        <w:rPr>
          <w:rStyle w:val="CharStyle12"/>
        </w:rPr>
        <w:t>АКЦИОНЕРНОЕ ОБЩЕСТВО «УЛАН-УДЭНСКОЕ ПРИБОРОСТРОИТЕЛЬНОЕ ПРОИЗВОДСТВЕННОЕ ОБЪЕДИНЕНИЕ».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В составе заявки содержится регистрационное удостоверение. В подтверждение приведенного показателя требуемой характеристики участником закупки в составе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заявки представлено регистрационное удостоверение на медицинское изделие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2022/16879 </w:t>
      </w:r>
      <w:r>
        <w:rPr>
          <w:rStyle w:val="CharStyle12"/>
        </w:rPr>
        <w:t>от 11.04.2022г.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Согласно инструкции по применению медицинского изделия к РУ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2022/16879, </w:t>
      </w:r>
      <w:r>
        <w:rPr>
          <w:rStyle w:val="CharStyle12"/>
        </w:rPr>
        <w:t xml:space="preserve">размещенной на сайте Росздравнадзора, у предполагаемого к поставке товара, объёма </w:t>
      </w:r>
      <w:r>
        <w:rPr>
          <w:rStyle w:val="CharStyle12"/>
          <w:lang w:val="en-US" w:eastAsia="en-US"/>
        </w:rPr>
        <w:t xml:space="preserve">200 </w:t>
      </w:r>
      <w:r>
        <w:rPr>
          <w:rStyle w:val="CharStyle12"/>
        </w:rPr>
        <w:t xml:space="preserve">мкл, указано: диаметр посадочный: </w:t>
      </w:r>
      <w:r>
        <w:rPr>
          <w:rStyle w:val="CharStyle12"/>
          <w:lang w:val="en-US" w:eastAsia="en-US"/>
        </w:rPr>
        <w:t>6 ± 1 0 %.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Таким образом, согласно инструкции медицинского изделия, посадочный конус имеет диаметр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5,4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6,6 </w:t>
      </w:r>
      <w:r>
        <w:rPr>
          <w:rStyle w:val="CharStyle12"/>
          <w:b/>
          <w:bCs/>
        </w:rPr>
        <w:t>мм</w:t>
      </w:r>
      <w:r>
        <w:rPr>
          <w:rStyle w:val="CharStyle12"/>
        </w:rPr>
        <w:t xml:space="preserve">, что не соответствует положениям извещения данной закупки </w:t>
      </w:r>
      <w:r>
        <w:rPr>
          <w:rStyle w:val="CharStyle12"/>
          <w:lang w:val="en-US" w:eastAsia="en-US"/>
        </w:rPr>
        <w:t>(</w:t>
      </w:r>
      <w:r>
        <w:rPr>
          <w:rStyle w:val="CharStyle12"/>
          <w:rFonts w:ascii="Arial" w:eastAsia="Arial" w:hAnsi="Arial" w:cs="Arial"/>
          <w:lang w:val="en-US" w:eastAsia="en-US"/>
        </w:rPr>
        <w:t xml:space="preserve">⩾ </w:t>
      </w:r>
      <w:r>
        <w:rPr>
          <w:rStyle w:val="CharStyle12"/>
          <w:lang w:val="en-US" w:eastAsia="en-US"/>
        </w:rPr>
        <w:t xml:space="preserve">5,00 </w:t>
      </w:r>
      <w:r>
        <w:rPr>
          <w:rStyle w:val="CharStyle12"/>
        </w:rPr>
        <w:t xml:space="preserve">и </w:t>
      </w:r>
      <w:r>
        <w:rPr>
          <w:rStyle w:val="CharStyle12"/>
          <w:rFonts w:ascii="Arial" w:eastAsia="Arial" w:hAnsi="Arial" w:cs="Arial"/>
          <w:lang w:val="en-US" w:eastAsia="en-US"/>
        </w:rPr>
        <w:t xml:space="preserve">⩽ </w:t>
      </w:r>
      <w:r>
        <w:rPr>
          <w:rStyle w:val="CharStyle12"/>
          <w:lang w:val="en-US" w:eastAsia="en-US"/>
        </w:rPr>
        <w:t xml:space="preserve">5,20, </w:t>
      </w:r>
      <w:r>
        <w:rPr>
          <w:rStyle w:val="CharStyle12"/>
        </w:rPr>
        <w:t>мм).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Данная инструкция производителя является официальным документом, размещенным на официальном сайте Росздравнадзора </w:t>
      </w:r>
      <w:r>
        <w:fldChar w:fldCharType="begin"/>
      </w:r>
      <w:r>
        <w:rPr/>
        <w:instrText> HYPERLINK "https://www.roszdravnadzor.gov.ru/" </w:instrText>
      </w:r>
      <w:r>
        <w:fldChar w:fldCharType="separate"/>
      </w:r>
      <w:r>
        <w:rPr>
          <w:rStyle w:val="CharStyle12"/>
          <w:lang w:val="en-US" w:eastAsia="en-US"/>
        </w:rPr>
        <w:t>https://www.roszdravnadzor.gov.ru/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>и входит в состав регистрационного досье медицинского изделия.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Таким образом, из доступных (открытых) размещенных на сайте Росздравнадзора документов следует несоответствие характеристики предлагаемого к поставке Обществом медицинского изделия. Документы регистрационного досье содержатся в государственной информационной системе Росздравнадзора являются прямыми доказательствами недостоверности представленных участником сведений. Несоответствие заявки требованиям извещения усматривается том, что в составе заявки Общества предложен товар (медицинское изделие), отличающийся по своим характеристикам от товара, который требовался к поставке и характеристики которого отражены в описании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Вопреки доводам Заказчика, рассматривающего заявки участников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комиссия не только проверяет формальное соответствие документов и сведений установленному заказчиком перечню и их полноту, но и проверяет их достоверность, что следует из пункта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По позиции </w:t>
      </w:r>
      <w:r>
        <w:rPr>
          <w:rStyle w:val="CharStyle12"/>
          <w:lang w:val="en-US" w:eastAsia="en-US"/>
        </w:rPr>
        <w:t xml:space="preserve">№ 3 </w:t>
      </w:r>
      <w:r>
        <w:rPr>
          <w:rStyle w:val="CharStyle12"/>
        </w:rPr>
        <w:t>победителем закупки представлен товар, который не указан в доводах жалобы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Согласно п. </w:t>
      </w:r>
      <w:r>
        <w:rPr>
          <w:rStyle w:val="CharStyle12"/>
          <w:lang w:val="en-US" w:eastAsia="en-US"/>
        </w:rPr>
        <w:t xml:space="preserve">8)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Таким образом в действиях комиссии и заказчика выявлены нарушения пункта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48, </w:t>
      </w:r>
      <w:r>
        <w:rPr>
          <w:rStyle w:val="CharStyle12"/>
        </w:rPr>
        <w:t xml:space="preserve">подпункта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Федерального 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44-ФЗ. Данные выводы подтверждаются Постановлением Арбитражного суда Западно</w:t>
        <w:softHyphen/>
        <w:t xml:space="preserve">Сибирского округа по делу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А56-95620/2024.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rStyle w:val="CharStyle12"/>
        </w:rPr>
        <w:t xml:space="preserve">На основании вышеизложенного, руководствуясь статьей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апреля </w:t>
      </w:r>
      <w:r>
        <w:rPr>
          <w:rStyle w:val="CharStyle12"/>
          <w:lang w:val="en-US" w:eastAsia="en-US"/>
        </w:rPr>
        <w:t xml:space="preserve">2013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3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Признать жалобу Заявителя обоснованной;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72" w:val="left"/>
        </w:tabs>
        <w:bidi w:val="0"/>
        <w:spacing w:before="0" w:after="280" w:line="240" w:lineRule="auto"/>
        <w:ind w:left="0" w:right="0" w:firstLine="760"/>
        <w:jc w:val="both"/>
      </w:pPr>
      <w:r>
        <w:rPr>
          <w:rStyle w:val="CharStyle12"/>
        </w:rPr>
        <w:t xml:space="preserve">Признать в действиях комиссии по осуществлению закупок заказчика нарушения пункта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48, </w:t>
      </w:r>
      <w:r>
        <w:rPr>
          <w:rStyle w:val="CharStyle12"/>
        </w:rPr>
        <w:t xml:space="preserve">подпункта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Федерального 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44-ФЗ;</w:t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52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rStyle w:val="CharStyle12"/>
        </w:rPr>
        <w:t>Выдать Заказчику, комиссии по осуществлению закупок обязательное для испол</w:t>
        <w:softHyphen/>
        <w:t>нения предписание об устранении нарушений законодательства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52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rStyle w:val="CharStyle12"/>
        </w:rPr>
        <w:t>Оператору электронной площадки обеспечить возможность исполнения выданно</w:t>
        <w:softHyphen/>
        <w:t>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52" w:val="left"/>
        </w:tabs>
        <w:bidi w:val="0"/>
        <w:spacing w:before="0" w:after="0" w:line="240" w:lineRule="auto"/>
        <w:ind w:left="720" w:right="0" w:hanging="340"/>
        <w:jc w:val="both"/>
      </w:pPr>
      <w:r>
        <w:rPr>
          <w:rStyle w:val="CharStyle12"/>
        </w:rPr>
        <w:t>Передать материалы дела соответствующему должностному лицу Иркутского УФАС России для рассмотрения вопроса о возбуждении дела об административ</w:t>
        <w:softHyphen/>
        <w:t>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rStyle w:val="CharStyle12"/>
        </w:rPr>
        <w:t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6287770</wp:posOffset>
                </wp:positionH>
                <wp:positionV relativeFrom="paragraph">
                  <wp:posOffset>12700</wp:posOffset>
                </wp:positionV>
                <wp:extent cx="895985" cy="25019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95.10000000000002pt;margin-top:1.pt;width:70.54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И.И. Ларин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  <w:sz w:val="28"/>
          <w:szCs w:val="28"/>
        </w:rPr>
        <w:t>Председатель комиссии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8" w:right="539" w:bottom="1501" w:left="1103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786255" simplePos="0" relativeHeight="125829380" behindDoc="0" locked="0" layoutInCell="1" allowOverlap="1">
            <wp:simplePos x="0" y="0"/>
            <wp:positionH relativeFrom="page">
              <wp:posOffset>2834005</wp:posOffset>
            </wp:positionH>
            <wp:positionV relativeFrom="paragraph">
              <wp:posOffset>0</wp:posOffset>
            </wp:positionV>
            <wp:extent cx="359410" cy="524510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3294380</wp:posOffset>
                </wp:positionH>
                <wp:positionV relativeFrom="paragraph">
                  <wp:posOffset>405130</wp:posOffset>
                </wp:positionV>
                <wp:extent cx="1283335" cy="100330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59.39999999999998pt;margin-top:31.900000000000002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3254375</wp:posOffset>
                </wp:positionH>
                <wp:positionV relativeFrom="paragraph">
                  <wp:posOffset>88265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56.25pt;margin-top:6.9500000000000002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Ларин Иван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009F5F3E0AE6487170712C533F677D64DF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rStyle w:val="CharStyle26"/>
        </w:rPr>
        <w:t xml:space="preserve">Действителен с 27.06.2025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20.09.2026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1" behindDoc="0" locked="0" layoutInCell="1" allowOverlap="1">
            <wp:simplePos x="0" y="0"/>
            <wp:positionH relativeFrom="page">
              <wp:posOffset>2834005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3294380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59.39999999999998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3254375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56.2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  <w:sz w:val="28"/>
          <w:szCs w:val="28"/>
        </w:rPr>
        <w:t>В.С. Ворошилов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Ворошилов Виктор Сергеевич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1D7EF1FBB173795ACAC7520D8B68BC5C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w:rPr>
          <w:rStyle w:val="CharStyle26"/>
        </w:rPr>
        <w:t xml:space="preserve">Действителен с 05.06.2025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29.08.2026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918970" simplePos="0" relativeHeight="125829382" behindDoc="0" locked="0" layoutInCell="1" allowOverlap="1">
            <wp:simplePos x="0" y="0"/>
            <wp:positionH relativeFrom="page">
              <wp:posOffset>2858770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3255010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56.30000000000001pt;margin-top:11.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  <w:sz w:val="28"/>
          <w:szCs w:val="28"/>
        </w:rPr>
        <w:t>О.В. Караульская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1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Караульская Олеся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3897E21644B61C8D064A868B033D88F1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right="0" w:firstLine="0"/>
        <w:jc w:val="left"/>
      </w:pPr>
      <w:r>
        <w:rPr>
          <w:rStyle w:val="CharStyle26"/>
        </w:rPr>
        <w:t xml:space="preserve">Действителен с 04.12.2024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27.02.2026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Исп.Ворошилов В.С.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33"/>
        </w:rPr>
        <w:t>тел.8(3952)24-32-31 вн. 038-141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35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7124700</wp:posOffset>
              </wp:positionH>
              <wp:positionV relativeFrom="page">
                <wp:posOffset>9869805</wp:posOffset>
              </wp:positionV>
              <wp:extent cx="73025" cy="7302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1.pt;margin-top:777.14999999999998pt;width:5.75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1">
    <w:name w:val="Body text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3">
    <w:name w:val="Body text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3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3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0">
    <w:name w:val="Body text (5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2">
    <w:name w:val="Body text (4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