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after="0" w:line="240" w:lineRule="auto"/>
        <w:ind w:left="0"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rStyle w:val="CharStyle10"/>
        </w:rPr>
        <w:t>01.09.2025</w:t>
        <w:tab/>
      </w:r>
      <w:r>
        <w:fldChar w:fldCharType="end"/>
      </w:r>
      <w:r>
        <w:rPr>
          <w:rStyle w:val="CharStyle10"/>
        </w:rPr>
        <w:t>№ 34957/25</w:t>
      </w:r>
      <w:bookmarkEnd w:id="0"/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 xml:space="preserve">ООО «Фотэкс» </w:t>
      </w:r>
      <w:r>
        <w:fldChar w:fldCharType="begin"/>
      </w:r>
      <w:r>
        <w:rPr/>
        <w:instrText> HYPERLINK "mailto:fotex-p@yandex.ru" </w:instrText>
      </w:r>
      <w:r>
        <w:fldChar w:fldCharType="separate"/>
      </w:r>
      <w:r>
        <w:rPr>
          <w:rStyle w:val="CharStyle12"/>
          <w:lang w:val="en-US" w:eastAsia="en-US"/>
        </w:rPr>
        <w:t>fotex-p@yandex.ru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ГБПОУ МКСП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94" w:right="1943" w:bottom="584" w:left="1265" w:header="0" w:footer="3" w:gutter="0"/>
          <w:pgNumType w:start="1"/>
          <w:cols w:num="2" w:space="1265"/>
          <w:noEndnote/>
          <w:rtlGutter w:val="0"/>
          <w:docGrid w:linePitch="360"/>
        </w:sectPr>
      </w:pPr>
      <w:r>
        <w:fldChar w:fldCharType="begin"/>
      </w:r>
      <w:r>
        <w:rPr/>
        <w:instrText> HYPERLINK "mailto:GukovskayaTA@social.mos.ru" </w:instrText>
      </w:r>
      <w:r>
        <w:fldChar w:fldCharType="separate"/>
      </w:r>
      <w:r>
        <w:rPr>
          <w:rStyle w:val="CharStyle12"/>
          <w:lang w:val="en-US" w:eastAsia="en-US"/>
        </w:rPr>
        <w:t>GukovskayaTA@social.mos.ru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1" w:after="6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4" w:right="0" w:bottom="58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№077/06/106-10609/2025 </w:t>
      </w:r>
      <w:r>
        <w:rPr>
          <w:rStyle w:val="CharStyle12"/>
          <w:b/>
          <w:bCs/>
        </w:rPr>
        <w:t>о нарушении</w:t>
        <w:br/>
        <w:t>законодательства о контрактной системе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96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  <w:b/>
          <w:bCs/>
          <w:lang w:val="en-US" w:eastAsia="en-US"/>
        </w:rPr>
        <w:t>27.08.2025</w:t>
        <w:tab/>
      </w:r>
      <w:r>
        <w:rPr>
          <w:rStyle w:val="CharStyle12"/>
          <w:b/>
          <w:bCs/>
        </w:rPr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Комиссия Управления Федеральной антимонопольной службы по г. Москве по контролю в сфере закупок товаров, работ, услуг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Председательствующего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главного государственного инспектора отдела обжалования государственных закупок А.А. Кутейникова,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Членов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Главного специалиста-эксперта отдела обжалования государственных закупок А.А. Матюшенко,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Специалиста-эксперта отдела обжалования государственных закупок О.А. Челновой,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при участии представителя: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ГБПОУ МКСП: А.М. Ефремова (по доверенности </w:t>
      </w:r>
      <w:r>
        <w:rPr>
          <w:rStyle w:val="CharStyle12"/>
          <w:lang w:val="en-US" w:eastAsia="en-US"/>
        </w:rPr>
        <w:t xml:space="preserve">№4-01/2025/19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>20.08.2025),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в отсутствие представителей ООО «Фотэкс», о времени и порядке заседания Комиссии Управления уведомленных посредством функционала Единой информационной системы,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0"/>
        <w:ind w:left="0" w:right="0" w:firstLine="700"/>
        <w:jc w:val="both"/>
      </w:pPr>
      <w:r>
        <w:rPr>
          <w:rStyle w:val="CharStyle12"/>
        </w:rPr>
        <w:t xml:space="preserve">рассмотрев жалобу ООО «Фотэкс»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Заявитель) на действия ГБПОУ МКСП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Заказчик) при проведении закупки у единственного поставщика на право заключения государственного контракта на поставку кресел офисных (Закупка </w:t>
      </w:r>
      <w:r>
        <w:rPr>
          <w:rStyle w:val="CharStyle12"/>
          <w:lang w:val="en-US" w:eastAsia="en-US"/>
        </w:rPr>
        <w:t xml:space="preserve">№0373200112225000035)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закупка, закупочная процедура), в соответствии с Федеральным законом от </w:t>
      </w:r>
      <w:r>
        <w:rPr>
          <w:rStyle w:val="CharStyle12"/>
          <w:lang w:val="en-US" w:eastAsia="en-US"/>
        </w:rPr>
        <w:t xml:space="preserve">05.04.2013 </w:t>
      </w:r>
      <w:r>
        <w:rPr>
          <w:rStyle w:val="CharStyle12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Закон о контрактной системе),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4" w:right="536" w:bottom="584" w:left="1106" w:header="0" w:footer="3" w:gutter="0"/>
          <w:cols w:space="720"/>
          <w:noEndnote/>
          <w:rtlGutter w:val="0"/>
          <w:docGrid w:linePitch="360"/>
        </w:sectPr>
      </w:pPr>
      <w:bookmarkStart w:id="2" w:name="bookmark2"/>
      <w:r>
        <w:rPr>
          <w:rStyle w:val="CharStyle15"/>
        </w:rPr>
        <w:t>IIIIIIIIIIIIIIIIIIIIIIIIIIII</w:t>
      </w:r>
      <w:bookmarkEnd w:id="2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12"/>
          <w:b/>
          <w:bCs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В Московское УФАС России поступила жалоба Заявителя на действия комиссии по осуществлению закупки Заказчика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комиссия Заказчика) при проведении вышеуказанной закупочной процедуры.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По мнению Заявителя, Заказчиком нарушены нормы Закона о контрактной системе в результате отклонения заявки Заявителя.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Согласно протоколу подведения итогов определения поставщика от </w:t>
      </w:r>
      <w:r>
        <w:rPr>
          <w:rStyle w:val="CharStyle12"/>
          <w:lang w:val="en-US" w:eastAsia="en-US"/>
        </w:rPr>
        <w:t xml:space="preserve">20.08.2025 </w:t>
      </w:r>
      <w:r>
        <w:rPr>
          <w:rStyle w:val="CharStyle12"/>
        </w:rPr>
        <w:t xml:space="preserve">№ИЗТ1 заявка участника закупки ООО «Фотэкс», с идентификационным номером </w:t>
      </w:r>
      <w:r>
        <w:rPr>
          <w:rStyle w:val="CharStyle12"/>
          <w:lang w:val="en-US" w:eastAsia="en-US"/>
        </w:rPr>
        <w:t xml:space="preserve">2247812, </w:t>
      </w:r>
      <w:r>
        <w:rPr>
          <w:rStyle w:val="CharStyle12"/>
        </w:rPr>
        <w:t>отклонена на следующем основании: «</w:t>
      </w:r>
      <w:r>
        <w:rPr>
          <w:rStyle w:val="CharStyle12"/>
          <w:i/>
          <w:iCs/>
        </w:rPr>
        <w:t xml:space="preserve">Отклонить заявку на участие в закупке по Несоответствие информации и документов, предусмотренных пп. «в» п. </w:t>
      </w:r>
      <w:r>
        <w:rPr>
          <w:rStyle w:val="CharStyle12"/>
          <w:i/>
          <w:iCs/>
          <w:lang w:val="en-US" w:eastAsia="en-US"/>
        </w:rPr>
        <w:t xml:space="preserve">5 </w:t>
      </w:r>
      <w:r>
        <w:rPr>
          <w:rStyle w:val="CharStyle12"/>
          <w:i/>
          <w:iCs/>
        </w:rPr>
        <w:t xml:space="preserve">ч. </w:t>
      </w:r>
      <w:r>
        <w:rPr>
          <w:rStyle w:val="CharStyle12"/>
          <w:i/>
          <w:iCs/>
          <w:lang w:val="en-US" w:eastAsia="en-US"/>
        </w:rPr>
        <w:t xml:space="preserve">12 </w:t>
      </w:r>
      <w:r>
        <w:rPr>
          <w:rStyle w:val="CharStyle12"/>
          <w:i/>
          <w:iCs/>
        </w:rPr>
        <w:t xml:space="preserve">ст. </w:t>
      </w:r>
      <w:r>
        <w:rPr>
          <w:rStyle w:val="CharStyle12"/>
          <w:i/>
          <w:iCs/>
          <w:lang w:val="en-US" w:eastAsia="en-US"/>
        </w:rPr>
        <w:t xml:space="preserve">93 </w:t>
      </w:r>
      <w:r>
        <w:rPr>
          <w:rStyle w:val="CharStyle12"/>
          <w:i/>
          <w:iCs/>
        </w:rPr>
        <w:t xml:space="preserve">Закона </w:t>
      </w:r>
      <w:r>
        <w:rPr>
          <w:rStyle w:val="CharStyle12"/>
          <w:i/>
          <w:iCs/>
          <w:lang w:val="en-US" w:eastAsia="en-US"/>
        </w:rPr>
        <w:t xml:space="preserve">№ </w:t>
      </w:r>
      <w:r>
        <w:rPr>
          <w:rStyle w:val="CharStyle12"/>
          <w:i/>
          <w:iCs/>
        </w:rPr>
        <w:t xml:space="preserve">44-ФЗ, требованиям, установленным в извещении Предложение Заявителя не соответствует требованиям извещения об осуществлении закупки и Закону о контрактной системе, поскольку содержит условия, не отвечающие потребностям Заказчика, а именно минимальный срок поставки товара, дней: </w:t>
      </w:r>
      <w:r>
        <w:rPr>
          <w:rStyle w:val="CharStyle12"/>
          <w:i/>
          <w:iCs/>
          <w:lang w:val="en-US" w:eastAsia="en-US"/>
        </w:rPr>
        <w:t xml:space="preserve">10 </w:t>
      </w:r>
      <w:r>
        <w:rPr>
          <w:rStyle w:val="CharStyle12"/>
          <w:i/>
          <w:iCs/>
        </w:rPr>
        <w:t xml:space="preserve">календарных, в то время как предельный срок поставки товара не указан и как следствие может превышать допустимый срок, указанный в документации,в то время как в извещении об осуществлении закупки Заказчику требуется поставки товара, дней: </w:t>
      </w:r>
      <w:r>
        <w:rPr>
          <w:rStyle w:val="CharStyle12"/>
          <w:i/>
          <w:iCs/>
          <w:lang w:val="en-US" w:eastAsia="en-US"/>
        </w:rPr>
        <w:t xml:space="preserve">1 </w:t>
      </w:r>
      <w:r>
        <w:rPr>
          <w:rStyle w:val="CharStyle12"/>
          <w:i/>
          <w:iCs/>
        </w:rPr>
        <w:t xml:space="preserve">календарный, максимальный срок поставки товара, дней: </w:t>
      </w:r>
      <w:r>
        <w:rPr>
          <w:rStyle w:val="CharStyle12"/>
          <w:i/>
          <w:iCs/>
          <w:lang w:val="en-US" w:eastAsia="en-US"/>
        </w:rPr>
        <w:t xml:space="preserve">50 </w:t>
      </w:r>
      <w:r>
        <w:rPr>
          <w:rStyle w:val="CharStyle12"/>
          <w:i/>
          <w:iCs/>
        </w:rPr>
        <w:t>дней, что нарушает требование п.2 ч.12 ст.93 Закона о контрактной системе, в соответствии с которым, размещая предварительное предложение, участник закупки выражает согласие на направление оператором электронной площадки заказчикам предложений о поставке товаров, соответствующих требованиям установленным в извещениях об осуществлении закупок в соответствии с пп.«в» п.3 ч.12 ст.93 Закона о контрактной системе, при этом указание участником закупки в составе предложения, например, иного срока поставки товара свидетельствует о том, что участник закупки не согласен с требованиями извещения об осуществления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  <w:i/>
          <w:iCs/>
        </w:rPr>
        <w:t xml:space="preserve">Отклонить заявку на участие в закупке по Несоответствие информации и документов, предусмотренных пп. «в» п. </w:t>
      </w:r>
      <w:r>
        <w:rPr>
          <w:rStyle w:val="CharStyle12"/>
          <w:i/>
          <w:iCs/>
          <w:lang w:val="en-US" w:eastAsia="en-US"/>
        </w:rPr>
        <w:t xml:space="preserve">5 </w:t>
      </w:r>
      <w:r>
        <w:rPr>
          <w:rStyle w:val="CharStyle12"/>
          <w:i/>
          <w:iCs/>
        </w:rPr>
        <w:t xml:space="preserve">ч. </w:t>
      </w:r>
      <w:r>
        <w:rPr>
          <w:rStyle w:val="CharStyle12"/>
          <w:i/>
          <w:iCs/>
          <w:lang w:val="en-US" w:eastAsia="en-US"/>
        </w:rPr>
        <w:t xml:space="preserve">12 </w:t>
      </w:r>
      <w:r>
        <w:rPr>
          <w:rStyle w:val="CharStyle12"/>
          <w:i/>
          <w:iCs/>
        </w:rPr>
        <w:t xml:space="preserve">ст. </w:t>
      </w:r>
      <w:r>
        <w:rPr>
          <w:rStyle w:val="CharStyle12"/>
          <w:i/>
          <w:iCs/>
          <w:lang w:val="en-US" w:eastAsia="en-US"/>
        </w:rPr>
        <w:t xml:space="preserve">93 </w:t>
      </w:r>
      <w:r>
        <w:rPr>
          <w:rStyle w:val="CharStyle12"/>
          <w:i/>
          <w:iCs/>
        </w:rPr>
        <w:t xml:space="preserve">Закона </w:t>
      </w:r>
      <w:r>
        <w:rPr>
          <w:rStyle w:val="CharStyle12"/>
          <w:i/>
          <w:iCs/>
          <w:lang w:val="en-US" w:eastAsia="en-US"/>
        </w:rPr>
        <w:t xml:space="preserve">№ </w:t>
      </w:r>
      <w:r>
        <w:rPr>
          <w:rStyle w:val="CharStyle12"/>
          <w:i/>
          <w:iCs/>
        </w:rPr>
        <w:t xml:space="preserve">44-ФЗ, требованиям, установленным в извещении Предложение Заявителя не соответствует требованиям извещения об осуществлении закупки и Закону о контрактной системе, поскольку содержит условия, не отвечающие потребностям Заказчика, а именно минимальный срок поставки товара, дней: </w:t>
      </w:r>
      <w:r>
        <w:rPr>
          <w:rStyle w:val="CharStyle12"/>
          <w:i/>
          <w:iCs/>
          <w:lang w:val="en-US" w:eastAsia="en-US"/>
        </w:rPr>
        <w:t xml:space="preserve">5 </w:t>
      </w:r>
      <w:r>
        <w:rPr>
          <w:rStyle w:val="CharStyle12"/>
          <w:i/>
          <w:iCs/>
        </w:rPr>
        <w:t xml:space="preserve">календарных, в то время как предельный срок поставки товара не указан и как следствие может превышать допустимый срок, указанный в документации,в то время как в извещении об осуществлении закупки Заказчику требуется поставки товара, дней: </w:t>
      </w:r>
      <w:r>
        <w:rPr>
          <w:rStyle w:val="CharStyle12"/>
          <w:i/>
          <w:iCs/>
          <w:lang w:val="en-US" w:eastAsia="en-US"/>
        </w:rPr>
        <w:t xml:space="preserve">1 </w:t>
      </w:r>
      <w:r>
        <w:rPr>
          <w:rStyle w:val="CharStyle12"/>
          <w:i/>
          <w:iCs/>
        </w:rPr>
        <w:t xml:space="preserve">календарный, максимальный срок поставки товара, дней: </w:t>
      </w:r>
      <w:r>
        <w:rPr>
          <w:rStyle w:val="CharStyle12"/>
          <w:i/>
          <w:iCs/>
          <w:lang w:val="en-US" w:eastAsia="en-US"/>
        </w:rPr>
        <w:t xml:space="preserve">50 </w:t>
      </w:r>
      <w:r>
        <w:rPr>
          <w:rStyle w:val="CharStyle12"/>
          <w:i/>
          <w:iCs/>
        </w:rPr>
        <w:t>дней, что нарушает требование п.2 ч.12 ст.93 Закона о контрактной системе, в соответствии с которым, размещая предварительное предложение, участник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  <w:i/>
          <w:iCs/>
        </w:rPr>
        <w:t>закупки выражает согласие на направление оператором электронной площадки заказчикам предложений о поставке товаров, соответствующих требованиям, установленным в извещениях об осуществлении закупок в соответствии с пп.«в» п.3 ч.12 ст.93 Закона о контрактной системе, при этом указание участником закупки в составе предложения, например, иного срока поставки товара свидетельствует о том, что участник закупки не согласен с требованиями извещения об осуществления закупки</w:t>
      </w:r>
      <w:r>
        <w:rPr>
          <w:rStyle w:val="CharStyle12"/>
        </w:rPr>
        <w:t>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2"/>
        </w:rPr>
        <w:t xml:space="preserve">Согласно ч.12 ст.93 Закона о контрактной системе в случаях, предусмотренных п.4 </w:t>
      </w:r>
      <w:r>
        <w:rPr>
          <w:rStyle w:val="CharStyle12"/>
          <w:lang w:val="en-US" w:eastAsia="en-US"/>
        </w:rPr>
        <w:t xml:space="preserve">- 5.2 </w:t>
      </w:r>
      <w:r>
        <w:rPr>
          <w:rStyle w:val="CharStyle12"/>
        </w:rPr>
        <w:t>ч.1 Закона о контрактной системе, закупка товара на сумму, не превышающую пяти миллионов рублей, может осуществляться в электронной форме с использованием электронной площадки.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2"/>
        </w:rPr>
        <w:t xml:space="preserve">В соответствии с п.1 ч.12 ст.93 Закона о контрактной системе в случаях, предусмотренных пп. </w:t>
      </w:r>
      <w:r>
        <w:rPr>
          <w:rStyle w:val="CharStyle12"/>
          <w:lang w:val="en-US" w:eastAsia="en-US"/>
        </w:rPr>
        <w:t xml:space="preserve">4 - 5.2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ст.93 Закона о контрактной системе, закупка товара на сумму, не превышающую пяти миллионов рублей, может осуществляться в электронной форме с использованием электронной площадки. Годовой объем закупок, осуществляемых в таком порядке, не должен превышать сто миллионов рублей. Закупка товара в соответствии с настоящей частью осуществляется в следующем порядке: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/>
        <w:ind w:left="0" w:right="0" w:firstLine="720"/>
        <w:jc w:val="both"/>
      </w:pPr>
      <w:r>
        <w:rPr>
          <w:rStyle w:val="CharStyle12"/>
        </w:rPr>
        <w:t xml:space="preserve">в целях участия в проводимых на электронной площадке закупках, предусмотренных настоящей частью, участники закупки вправе сформировать на электронной площадке, подписать усиленной электронной подписью и разместить на такой электронной площадке предварительное предложение о поставке товаров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предварительное предложение), содержащее в отношении каждого товара, предлагаемого таким участником закупки к поставкам: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/>
        <w:ind w:left="0" w:right="0" w:firstLine="720"/>
        <w:jc w:val="both"/>
      </w:pPr>
      <w:r>
        <w:rPr>
          <w:rStyle w:val="CharStyle12"/>
        </w:rPr>
        <w:t>наименование товара и его характеристики с использованием каталога товаров, работ, услуг для обеспечения государственных и муниципальных нужд;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53" w:val="left"/>
        </w:tabs>
        <w:bidi w:val="0"/>
        <w:spacing w:before="0" w:after="0"/>
        <w:ind w:left="0" w:right="0" w:firstLine="720"/>
        <w:jc w:val="both"/>
      </w:pPr>
      <w:r>
        <w:rPr>
          <w:rStyle w:val="CharStyle12"/>
        </w:rPr>
        <w:t>товарный знак (при наличии);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53" w:val="left"/>
        </w:tabs>
        <w:bidi w:val="0"/>
        <w:spacing w:before="0" w:after="0"/>
        <w:ind w:left="0" w:right="0" w:firstLine="720"/>
        <w:jc w:val="both"/>
      </w:pPr>
      <w:r>
        <w:rPr>
          <w:rStyle w:val="CharStyle12"/>
        </w:rPr>
        <w:t>наименование страны происхождения товара;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/>
        <w:ind w:left="0" w:right="0" w:firstLine="720"/>
        <w:jc w:val="both"/>
      </w:pPr>
      <w:r>
        <w:rPr>
          <w:rStyle w:val="CharStyle12"/>
        </w:rPr>
        <w:t xml:space="preserve">документ (или его копия), подтверждающий страну происхождения товара (в случае, если такой документ в отношении соответствующего товара предусмотрен нормативными правовыми актами, принятыми в соответствии с ч.3 и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>ст.14 Закона о контрактной системе). В случае отсутствия такого документа (или его копии) такой товар приравнивается к товару, происходящему из иностранного государства или группы иностранных государств;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/>
        <w:ind w:left="0" w:right="0" w:firstLine="720"/>
        <w:jc w:val="both"/>
      </w:pPr>
      <w:r>
        <w:rPr>
          <w:rStyle w:val="CharStyle12"/>
        </w:rPr>
        <w:t>единица измерения товара по общероссийскому классификатору, используемому для количественной оценки технико-экономических и социальных показателей;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/>
        <w:ind w:left="0" w:right="0" w:firstLine="720"/>
        <w:jc w:val="both"/>
      </w:pPr>
      <w:r>
        <w:rPr>
          <w:rStyle w:val="CharStyle12"/>
        </w:rPr>
        <w:t>цена (цены) единицы товара с учетом стоимости доставки, налогов, сборов и иных обязательных платежей, предусмотренных пп. «ж» и «з» настоящего пункта количества товара, предлагаемого участником закупки к поставкам, и субъекта (субъектов) Российской Федерации, муниципального (муниципальных) района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2"/>
        </w:rPr>
        <w:t>(районов), муниципального (муниципальных) округа (округов) или городского (городских) округа (округов), в пределах территории (территорий) которого (которых) участник закупки предлагает товар к поставкам;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/>
        <w:ind w:left="0" w:right="0" w:firstLine="720"/>
        <w:jc w:val="both"/>
      </w:pPr>
      <w:r>
        <w:rPr>
          <w:rStyle w:val="CharStyle12"/>
        </w:rPr>
        <w:t>минимальное и (или) максимальное количество товара, предлагаемое участником закупки к поставкам. При этом такое количество товара может быть указано с учетом предусмотренных пп. «з» настоящего пункта субъекта (субъектов) Российской Федерации, муниципального (муниципальных) района (районов), муниципального (муниципальных) округа (округов) или городского (городских) округа (округов), в пределах территории (территорий) которого (которых) участник закупки предлагает товар к поставкам;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/>
        <w:ind w:left="0" w:right="0" w:firstLine="720"/>
        <w:jc w:val="both"/>
      </w:pPr>
      <w:r>
        <w:rPr>
          <w:rStyle w:val="CharStyle12"/>
        </w:rPr>
        <w:t>наименование субъекта (субъектов) Российской Федерации, муниципального (муниципальных) района (районов), муниципального (муниципальных) округа (округов) или городского (городских) округа (округов) по общероссийскому (общероссийским) классификатору (классификаторам), используемому (используемым) для сопоставимости и автоматизированной обработки информации в разрезах административно-территориального деления, систематизации и однозначной идентификации на всей территории Российской Федерации муниципальных образований и населенных пунктов, входящих в их состав, в пределах территории (территорий) которого (которых) участник закупки предлагает товар к поставкам;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/>
        <w:ind w:left="0" w:right="0" w:firstLine="720"/>
        <w:jc w:val="both"/>
      </w:pPr>
      <w:r>
        <w:rPr>
          <w:rStyle w:val="CharStyle12"/>
        </w:rPr>
        <w:t xml:space="preserve">срок действия предварительного предложения, который не может составлять более одного месяца с даты его размещения на электронной площадке. Участник закупки вправе продлить срок действия предварительного предложения или отозвать его в любой момент до направления оператором электронной площадки заявки заказчику в соответствии с пп. «в» п. </w:t>
      </w:r>
      <w:r>
        <w:rPr>
          <w:rStyle w:val="CharStyle12"/>
          <w:lang w:val="en-US" w:eastAsia="en-US"/>
        </w:rPr>
        <w:t xml:space="preserve">5 </w:t>
      </w:r>
      <w:r>
        <w:rPr>
          <w:rStyle w:val="CharStyle12"/>
        </w:rPr>
        <w:t>настоящей части;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/>
        <w:ind w:left="0" w:right="0" w:firstLine="720"/>
        <w:jc w:val="both"/>
      </w:pPr>
      <w:r>
        <w:rPr>
          <w:rStyle w:val="CharStyle12"/>
        </w:rPr>
        <w:t xml:space="preserve">информацию и документы, предусмотренные пп. «н»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«п» п.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43 </w:t>
      </w:r>
      <w:r>
        <w:rPr>
          <w:rStyle w:val="CharStyle12"/>
        </w:rPr>
        <w:t>Закона о контрактной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/>
        <w:ind w:left="0" w:right="0" w:firstLine="720"/>
        <w:jc w:val="both"/>
      </w:pPr>
      <w:r>
        <w:rPr>
          <w:rStyle w:val="CharStyle12"/>
        </w:rPr>
        <w:t xml:space="preserve">минимальный (минимальные) срок (сроки) и (или) максимальный (максимальные) срок (сроки) поставки товара с учетом предусмотренных пп. «ж» и «з» настоящего пункта количества товара, предлагаемого участником закупки к поставкам, и субъекта (субъектов) Российской Федерации, муниципального (муниципальных) района (районов), муниципального (муниципальных) округа (округов) или городского (городских) округа (округов), в пределах территории (территорий) которого (которых) участник закупки предлагает товар к поставкам. Предусмотренные настоящим подпунктом сроки поставки товара исчисляются календарными днями и указываются в предварительном предложении в календарных днях. </w:t>
      </w:r>
      <w:r>
        <w:rPr>
          <w:rStyle w:val="CharStyle12"/>
          <w:b/>
          <w:bCs/>
          <w:i/>
          <w:iCs/>
        </w:rPr>
        <w:t xml:space="preserve">При этом неуказание в соответствии с настоящим подпунктом минимального (минимальных) или максимального (максимальных) срока (сроков) означает согласие участника закупки со сроком поставки товара, предусмотренным в извещении об осуществлении закупки в соответствии с пп. «в» п. </w:t>
      </w:r>
      <w:r>
        <w:rPr>
          <w:rStyle w:val="CharStyle12"/>
          <w:b/>
          <w:bCs/>
          <w:i/>
          <w:iCs/>
          <w:lang w:val="en-US" w:eastAsia="en-US"/>
        </w:rPr>
        <w:t xml:space="preserve">3 </w:t>
      </w:r>
      <w:r>
        <w:rPr>
          <w:rStyle w:val="CharStyle12"/>
          <w:b/>
          <w:bCs/>
          <w:i/>
          <w:iCs/>
        </w:rPr>
        <w:t>ч.12 ст.93.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12"/>
        </w:rPr>
        <w:t>На основании п.3 ч.12 ст.93 Закона о контрактной системе заказчик формирует с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2"/>
        </w:rPr>
        <w:t>использованием единой информационной системы, подписывает усиленной электронной подписью и размещает в единой информационной системе извещение об осуществлении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Согласно пп. «в» п.3 ч.12 ст.93 Закона о контрактной системе извещение об осуществлении закупки, должно содержать наименование товара и его характеристики с использованием каталога товаров, работ, услуг для обеспечения государственных и муниципальных нужд, начальную цену единицы товара с учетом стоимости доставки, налогов, сборов и иных обязательных платежей, количество закупаемого товара, единицу измерения товара по общероссийскому классификатору, используемому для количественной оценки технико-экономических и социальных показателей, срок и место поставки товара по общероссийскому (общероссийским) классификатору (классификаторам), используемому (используемым) для сопоставимости и автоматизированной обработки информации в разрезах административно-территориального деления, систематизации и однозначной идентификации на всей территории Российской Федерации муниципальных образований и населенных пунктов, входящих в их состав. Предусмотренный настоящим подпунктом срок поставки товара исчисляется календарными днями и указывается в извещении об осуществлении закупки в календарных днях.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В силу пп.«в» п.5 ч.12 ст.93 Закона о контрактной системе в течение одного часа с момента размещения в единой информационной системе извещения об осуществлении закупки оператор электронной площадки с учетом положений п.8 ч.12 ст.93 Закона о контрактной системе с использованием электронной площадки направляет заказчику заявки на участие в закупке (с указанием присвоенных в соответствии с пп.«б» п.5 ч.12 ст.93 Закона о контрактной системе порядковых номеров), предусмотренные пп.«а» п.5 ч.12 ст.93 Закона о контрактной системе и содержащие информацию и документы, предусмотренные пп.«а»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«е» и «к» п.1 ч.12 ст.93 Закона о контрактной системе, п.2 ч.6 ст.43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На основании п.6 ч.12 ст.93 Закона о контрактной системе не позднее одного рабочего дня со дня, следующего за днем получения информации и документов, предусмотренных пп.«в» п.5 ч.12 ст.93 Закона о контрактной системе, заказчик: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9" w:val="left"/>
        </w:tabs>
        <w:bidi w:val="0"/>
        <w:spacing w:before="0" w:after="0"/>
        <w:ind w:left="0" w:right="0" w:firstLine="800"/>
        <w:jc w:val="both"/>
      </w:pPr>
      <w:r>
        <w:rPr>
          <w:rStyle w:val="CharStyle12"/>
        </w:rPr>
        <w:t xml:space="preserve">принимает в отношении каждой заявки решение о соответствии заявки на участие в закупке требованиям, установленным в извещении об осуществлении закупки, или решение об отклонении заявки на участие в закупке в случае непредставления информации и документов, предусмотренных пп.«в» п.5 ч.12 ст.93 Закона о контрактной системе, несоответствия таких информации и документов требованиям, установленным в извещении об осуществлении закупки, либо в случаях, предусмотренных пунктами </w:t>
      </w:r>
      <w:r>
        <w:rPr>
          <w:rStyle w:val="CharStyle12"/>
          <w:lang w:val="en-US" w:eastAsia="en-US"/>
        </w:rPr>
        <w:t xml:space="preserve">3 - 6, 8 </w:t>
      </w:r>
      <w:r>
        <w:rPr>
          <w:rStyle w:val="CharStyle12"/>
        </w:rPr>
        <w:t>ч.12 ст.48 Закона о контрактной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4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на основании решений, предусмотренных пп.«а» п.6 ч.12 ст.93 Закона о контрактной системе, присваивает каждой заявке на участие в закупке, которая не отклонена, порядковый номер в порядке возрастания цены за единицу товара, предусмотренной пп.«е» п.1 ч.12 ст.93 Закона о контрактной системе, с учетом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2"/>
        </w:rPr>
        <w:t>положений нормативных правовых актов, принятых в соответствии со ст.14 Закона о контрактной системе. Первый порядковый номер присваивается заявке на участие в закупке, содержащей наименьшую цену за единицу товара, или являющейся единственной заявкой, которая не отклонена в соответствии с пп.«а» п.6 ч.12 ст.93 Закона о контрактной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7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формирует с использованием электронной площадки протокол подведения итогов определения поставщика, подписывает его усиленной электронной подписью лица, имеющего право действовать от имени заказчика, и направляет оператору электронной площадки, который в течение одного часа с момента получения такого протокола размещает его в единой информационной системе и на электронной площадке, а также размещает в единой информационной системе (без размещения на официальном сайте) информацию, указанную в пп.«а» и «е» п.1 ч.1 ст.43 Закона о контрактной системе, идентификационные номера заявок и номера реестровых записей участников закупки, заявки которых направлены заказчику в соответствии с пп.«в» п.5 ч.12 ст.93 Закона о контрактной системе. Такой протокол должен содержать дату подведения итогов, идентификационные номера заявок и информацию о решениях, предусмотренных пп.«а» п.6 ч.12 ст.93 Закона о контрактной системе, </w:t>
      </w:r>
      <w:r>
        <w:rPr>
          <w:rStyle w:val="CharStyle12"/>
          <w:i/>
          <w:iCs/>
        </w:rPr>
        <w:t>обоснование решения об отклонении заявки на участие в закупке (в случае принятия такого решения), содержащее указание на положения заявки на участие в закупке, а также положения Закона о контрактной системе, извещения об осуществлении закупки, которым не соответствует такая заявка,</w:t>
      </w:r>
      <w:r>
        <w:rPr>
          <w:rStyle w:val="CharStyle12"/>
        </w:rPr>
        <w:t xml:space="preserve"> а также информацию, предусмотренную пп.«б» п.6 ч.12 ст.93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В силу ч.12.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7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непредставления (за исключением случаев, предусмотренных Законом о контрактной системе)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п.2 и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>ч.6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7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непредставления информации и документов, предусмотренных п.2 и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>ч.6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7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несоответствия участника закупки требованиям, установленным в извещении об осуществлении закупки в соответствии с ч.1 ст.31 Закона о контрактной системе, требованиям, установленным в извещении об осуществлении закупки в соответствии с ч. </w:t>
      </w:r>
      <w:r>
        <w:rPr>
          <w:rStyle w:val="CharStyle12"/>
          <w:lang w:val="en-US" w:eastAsia="en-US"/>
        </w:rPr>
        <w:t xml:space="preserve">1.1, 2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2.1 </w:t>
      </w:r>
      <w:r>
        <w:rPr>
          <w:rStyle w:val="CharStyle12"/>
        </w:rPr>
        <w:t>(при наличии таких требований) ст.31 Закона о контрактной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7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предусмотренных нормативными правовыми актами, принятыми в соответствии со ст.14 Закона о контрактной системе (за исключением случаев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2"/>
        </w:rPr>
        <w:t>непредставления информации и документов, предусмотренных п.5 ч.1 ст.43 Закона о контрактной системе);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0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непредставления информации и документов, предусмотренных п.5 ч.1 ст.43 Закона о контрактной системе, если такие документы предусмотрены нормативными правовыми актами, принятыми в соответствии с ч.3 ст.14 Закона о контрактной системе (в случае установления в соответствии со ст.14 Закона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0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выявления отнесения участника закупки к организациям, предусмотренным п.4 ст.2 Федерального закона от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июня </w:t>
      </w:r>
      <w:r>
        <w:rPr>
          <w:rStyle w:val="CharStyle12"/>
          <w:lang w:val="en-US" w:eastAsia="en-US"/>
        </w:rPr>
        <w:t xml:space="preserve">2018 </w:t>
      </w:r>
      <w:r>
        <w:rPr>
          <w:rStyle w:val="CharStyle12"/>
        </w:rPr>
        <w:t>года №127-ФЗ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780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предусмотренных ч.6 ст.45 Закона о контрактной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0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выявления недостоверной информации, содержащейся в заявке на участие в закупке;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0" w:val="left"/>
        </w:tabs>
        <w:bidi w:val="0"/>
        <w:spacing w:before="0" w:after="0"/>
        <w:ind w:left="0" w:right="0" w:firstLine="700"/>
        <w:jc w:val="both"/>
      </w:pPr>
      <w:r>
        <w:rPr>
          <w:rStyle w:val="CharStyle12"/>
        </w:rPr>
        <w:t>указания информации о предложении участника закупки, предусмотренном п.3 или п.4 ч.1 ст.43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В силу ч.1 ст.106 Закона о контрактной системе установлено, что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На заседании Комиссии Управления представитель Заказчика пояснил, что, согласно описанию объекта закупки, срок поставки составляет период с 1-го по 50-й календарный день с даты заключения контракта. Однако заявка Заявителя подлежала отклонению ввиду того, что в составе заявки не указан максимальный (предельный) срок поставки товара и как следствие может превышать допустимый срок, установленный в Техническом задании </w:t>
      </w:r>
      <w:r>
        <w:rPr>
          <w:rStyle w:val="CharStyle12"/>
          <w:lang w:val="en-US" w:eastAsia="en-US"/>
        </w:rPr>
        <w:t xml:space="preserve">– 50 </w:t>
      </w:r>
      <w:r>
        <w:rPr>
          <w:rStyle w:val="CharStyle12"/>
        </w:rPr>
        <w:t>календарных дня с даты заключения контракта, при этом данный срок является максимальным.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Комиссия Управления отмечает, в силу п.2 ч.12 ст.93 Закона о контрактной системе </w:t>
      </w:r>
      <w:r>
        <w:rPr>
          <w:rStyle w:val="CharStyle12"/>
          <w:i/>
          <w:iCs/>
        </w:rPr>
        <w:t>размещение предварительного предложения в соответствии с п.1 ч.12 ст.93 Закона о контрактной системе означает согласие участника закупки на направление</w:t>
      </w:r>
      <w:r>
        <w:rPr>
          <w:rStyle w:val="CharStyle12"/>
        </w:rPr>
        <w:t xml:space="preserve"> оператором электронной площадки заказчикам </w:t>
      </w:r>
      <w:r>
        <w:rPr>
          <w:rStyle w:val="CharStyle12"/>
          <w:i/>
          <w:iCs/>
        </w:rPr>
        <w:t>предложений о поставке товаров, соответствующих требованиям, установленным в извещениях об осуществлении закупок</w:t>
      </w:r>
      <w:r>
        <w:rPr>
          <w:rStyle w:val="CharStyle12"/>
        </w:rPr>
        <w:t xml:space="preserve"> в соответствии с пп.«в» п.3 ч.12 ст.93 Закона о контрактной системе. При этом ответственность за достоверность информации и документов, содержащихся в предварительном предложении, за соответствие указанных информации и документов требованиям, установленным законодательством Российской Федерации, несет участник закупки. Предусмотренное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2"/>
        </w:rPr>
        <w:t>настоящим пунктом предварительное предложение о поставке товара признается заявкой на участие в закупке, поданной участником закупки, начиная с осуществления оператором электронной площадки действия, предусмотренного пп.«а» п.5 ч.12 ст.93 Закона о контрактной системе. Участник закупки в порядке, установленном п.1 ч.12 ст.93 Закона о контрактной системе для формирования и размещения предварительного предложения, вправе внести в предварительное предложение изменения. При этом такие изменения применяются к отношениям, связанным с участием в закупках, извещения об осуществлении которых размещены в единой информационной системе после размещения на электронной площадке таких изменений.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Так, в соответствии с пп.«в» п.3 ч.12 ст.93 Закона о контрактной системе, </w:t>
      </w:r>
      <w:r>
        <w:rPr>
          <w:rStyle w:val="CharStyle12"/>
          <w:b/>
          <w:bCs/>
          <w:i/>
          <w:iCs/>
        </w:rPr>
        <w:t>извещение об осуществлении закупки должно содержать</w:t>
      </w:r>
      <w:r>
        <w:rPr>
          <w:rStyle w:val="CharStyle12"/>
        </w:rPr>
        <w:t xml:space="preserve"> наименование товара и его характеристики с использованием каталога товаров, работ, услуг для обеспечения государственных и муниципальных нужд, начальную цену единицы товара с учетом стоимости доставки, налогов, сборов и иных обязательных платежей, количество закупаемого товара, единицу измерения товара по общероссийскому классификатору, используемому для количественной оценки технико-экономических и социальных показателей, </w:t>
      </w:r>
      <w:r>
        <w:rPr>
          <w:rStyle w:val="CharStyle12"/>
          <w:b/>
          <w:bCs/>
          <w:i/>
          <w:iCs/>
        </w:rPr>
        <w:t>срок и место поставки товара</w:t>
      </w:r>
      <w:r>
        <w:rPr>
          <w:rStyle w:val="CharStyle12"/>
        </w:rPr>
        <w:t xml:space="preserve"> по общероссийскому (общероссийским) классификатору (классификаторам), используемому (используемым) для сопоставимости и автоматизированной обработки информации в разрезах административно-территориального деления, систематизации и однозначной идентификации на всей территории Российской Федерации муниципальных образований и населенных пунктов, входящих в их состав. Предусмотренный настоящим подпунктом срок поставки товара исчисляется календарными днями и указывается в извещении об осуществлении закупки в календарных днях.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Таким образом, Комиссия Управления отмечает, что исходя из буквального толкования п.2 ч.12 ст.93 Закона о контрактной системе, размещая предварительное предложение, участник закупки выражает согласие на направление оператором электронной площадки заказчикам предложений о поставке товаров, соответствующих требованиям, установленным в извещениях об осуществлении закупок в соответствии с пп.«в» п.3 ч.12 ст.93 Закона о контрактной системе, при этом указание участником закупки в составе предложения, например, иного срока поставки товара свидетельствует о том, что участник закупки не согласен с требованиями извещения об осуществления закупки. При этом, исходя из положений пп. «л» п.1 ч.12 ст. </w:t>
      </w:r>
      <w:r>
        <w:rPr>
          <w:rStyle w:val="CharStyle12"/>
          <w:lang w:val="en-US" w:eastAsia="en-US"/>
        </w:rPr>
        <w:t xml:space="preserve">93 </w:t>
      </w:r>
      <w:r>
        <w:rPr>
          <w:rStyle w:val="CharStyle12"/>
        </w:rPr>
        <w:t xml:space="preserve">Закона о контрактной системе неуказание в соответствии минимального (минимальных) или максимального (максимальных) срока (сроков) означает согласие участника закупки со сроком поставки товара, предусмотренным в извещении об осуществлении закупки в соответствии с пп. «в» п.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>ч.12 ст.93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Из письма Минфина России от </w:t>
      </w:r>
      <w:r>
        <w:rPr>
          <w:rStyle w:val="CharStyle12"/>
          <w:lang w:val="en-US" w:eastAsia="en-US"/>
        </w:rPr>
        <w:t xml:space="preserve">20.08.2020 №24-06-08/73161 </w:t>
      </w:r>
      <w:r>
        <w:rPr>
          <w:rStyle w:val="CharStyle12"/>
        </w:rPr>
        <w:t>также следует, что оператор отбирает из числа всех предварительных предложений не более пяти заявок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12"/>
        </w:rPr>
        <w:t xml:space="preserve">на участие в закупке, соответствующих требованиям, установленным в извещении об осуществлении закупки в соответствии с пп. «в» (в том числе в части цены единицы товара и срока поставки) и «е» п.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12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93 </w:t>
      </w:r>
      <w:r>
        <w:rPr>
          <w:rStyle w:val="CharStyle12"/>
        </w:rPr>
        <w:t>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Комиссией Управления установлено, что согласно Извещению об осуществлении закупки, Техническому заданию Заказчиком установлен срок поставки товара (календарных дней):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  <w:b/>
          <w:bCs/>
          <w:i/>
          <w:iCs/>
        </w:rPr>
        <w:t>Минимальный срок поставки товара, дней:1;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  <w:b/>
          <w:bCs/>
          <w:i/>
          <w:iCs/>
        </w:rPr>
        <w:t xml:space="preserve">Максимальный срок поставки товара, дней: </w:t>
      </w:r>
      <w:r>
        <w:rPr>
          <w:rStyle w:val="CharStyle12"/>
          <w:b/>
          <w:bCs/>
          <w:i/>
          <w:iCs/>
          <w:lang w:val="en-US" w:eastAsia="en-US"/>
        </w:rPr>
        <w:t>50.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Вместе с тем Комиссией Управления установлено, что в составе предложения Заявителя обозначен следующий срок поставки: «Минимальный срок поставки товара, дней: </w:t>
      </w:r>
      <w:r>
        <w:rPr>
          <w:rStyle w:val="CharStyle12"/>
          <w:lang w:val="en-US" w:eastAsia="en-US"/>
        </w:rPr>
        <w:t xml:space="preserve">10; </w:t>
      </w:r>
      <w:r>
        <w:rPr>
          <w:rStyle w:val="CharStyle12"/>
        </w:rPr>
        <w:t xml:space="preserve">Максимальный срок поставки товара, дней: </w:t>
      </w:r>
      <w:r>
        <w:rPr>
          <w:rStyle w:val="CharStyle12"/>
          <w:lang w:val="en-US" w:eastAsia="en-US"/>
        </w:rPr>
        <w:t xml:space="preserve">«-», </w:t>
      </w:r>
      <w:r>
        <w:rPr>
          <w:rStyle w:val="CharStyle12"/>
        </w:rPr>
        <w:t xml:space="preserve">что подразумевает под собой срок поставки не ранее, чем с </w:t>
      </w:r>
      <w:r>
        <w:rPr>
          <w:rStyle w:val="CharStyle12"/>
          <w:lang w:val="en-US" w:eastAsia="en-US"/>
        </w:rPr>
        <w:t xml:space="preserve">10 </w:t>
      </w:r>
      <w:r>
        <w:rPr>
          <w:rStyle w:val="CharStyle12"/>
        </w:rPr>
        <w:t xml:space="preserve">календарного дня и не позднее </w:t>
      </w:r>
      <w:r>
        <w:rPr>
          <w:rStyle w:val="CharStyle12"/>
          <w:lang w:val="en-US" w:eastAsia="en-US"/>
        </w:rPr>
        <w:t xml:space="preserve">50 </w:t>
      </w:r>
      <w:r>
        <w:rPr>
          <w:rStyle w:val="CharStyle12"/>
        </w:rPr>
        <w:t xml:space="preserve">календарного дня, ввиду того, что указание минимального срока поставки является диапазонным значением, входящим в установленное условие «с 1-го по 50-й» календарный день, а неуказание максимального (максимальных) срока (сроков) означает согласие участника закупки со сроком поставки товара, предусмотренным в извещении об осуществлении закупки в соответствии с пп. «в» п.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части </w:t>
      </w:r>
      <w:r>
        <w:rPr>
          <w:rStyle w:val="CharStyle12"/>
          <w:lang w:val="en-US" w:eastAsia="en-US"/>
        </w:rPr>
        <w:t xml:space="preserve">12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93 </w:t>
      </w:r>
      <w:r>
        <w:rPr>
          <w:rStyle w:val="CharStyle12"/>
        </w:rPr>
        <w:t>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>Таким образом, на основании вышеизложенного, Комиссия Управления приходит к выводу о нарушении комиссией по осуществлению закупок заказчика пп.«а» п.6 ч.12 ст.93 Закона о контрактной системе,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ч.7 ст.7.30.1 Кодекса Российской Федерации об административных правонарушениях.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  <w:sectPr>
          <w:headerReference w:type="default" r:id="rId8"/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138" w:right="530" w:bottom="1522" w:left="1088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РЕШИЛА: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92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.Признать жалобу ООО «Фотэкс» на действия комиссии ГБПОУ МКСП обоснованной.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06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.Признать в действиях комиссии Заказчика нарушение пп.«а» п.6 ч.12 ст.93 Закона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02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.Обязательное для исполнения предписание об устранении нарушений законодательства о контрактной системе Заказчику не выдавать, поскольку по результатам проведения закупки заключен государственный контракт и восстановление законных прав и интересов Заявителя возможно исключительно в судебном порядке.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16" w:val="left"/>
        </w:tabs>
        <w:bidi w:val="0"/>
        <w:spacing w:before="0" w:after="240" w:line="252" w:lineRule="auto"/>
        <w:ind w:left="0" w:right="0" w:firstLine="700"/>
        <w:jc w:val="both"/>
      </w:pPr>
      <w:r>
        <w:rPr>
          <w:rStyle w:val="CharStyle12"/>
        </w:rPr>
        <w:t>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2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(трех) месяцев с даты его принятия в порядке, установленном гл.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>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32" w:bottom="1652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39700" distB="194945" distL="0" distR="0" simplePos="0" relativeHeight="125829378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139700</wp:posOffset>
                </wp:positionV>
                <wp:extent cx="1844040" cy="250190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8.200000000000003pt;margin-top:11.pt;width:145.20000000000002pt;height:19.699999999999999pt;z-index:-125829375;mso-wrap-distance-left:0;mso-wrap-distance-top:11.pt;mso-wrap-distance-right:0;mso-wrap-distance-bottom:15.35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40030" distB="635" distL="0" distR="1816735" simplePos="0" relativeHeight="125829380" behindDoc="0" locked="0" layoutInCell="1" allowOverlap="1">
            <wp:simplePos x="0" y="0"/>
            <wp:positionH relativeFrom="page">
              <wp:posOffset>3138170</wp:posOffset>
            </wp:positionH>
            <wp:positionV relativeFrom="paragraph">
              <wp:posOffset>240030</wp:posOffset>
            </wp:positionV>
            <wp:extent cx="298450" cy="347345"/>
            <wp:wrapTopAndBottom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3528060</wp:posOffset>
                </wp:positionH>
                <wp:positionV relativeFrom="paragraph">
                  <wp:posOffset>300990</wp:posOffset>
                </wp:positionV>
                <wp:extent cx="1722120" cy="259080"/>
                <wp:wrapNone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77.80000000000001pt;margin-top:23.699999999999999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39700" distB="194945" distL="0" distR="0" simplePos="0" relativeHeight="125829381" behindDoc="0" locked="0" layoutInCell="1" allowOverlap="1">
                <wp:simplePos x="0" y="0"/>
                <wp:positionH relativeFrom="page">
                  <wp:posOffset>5908675</wp:posOffset>
                </wp:positionH>
                <wp:positionV relativeFrom="paragraph">
                  <wp:posOffset>139700</wp:posOffset>
                </wp:positionV>
                <wp:extent cx="1307465" cy="250190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465.25pt;margin-top:11.pt;width:102.95pt;height:19.699999999999999pt;z-index:-125829372;mso-wrap-distance-left:0;mso-wrap-distance-top:11.pt;mso-wrap-distance-right:0;mso-wrap-distance-bottom:15.35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4520" w:right="0" w:firstLine="0"/>
        <w:jc w:val="left"/>
        <w:rPr>
          <w:sz w:val="12"/>
          <w:szCs w:val="12"/>
        </w:rPr>
      </w:pPr>
      <w:r>
        <w:rPr>
          <w:rStyle w:val="CharStyle22"/>
          <w:color w:val="FFFFFF"/>
          <w:sz w:val="12"/>
          <w:szCs w:val="12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Кутейников Антон Андреевич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67950889C45403E5BD9EBC88A8D80C0D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25"/>
        </w:rPr>
        <w:t xml:space="preserve">Действителен с 19.05.2025 </w:t>
      </w:r>
      <w:r>
        <w:rPr>
          <w:rStyle w:val="CharStyle25"/>
          <w:color w:val="5D5D5D"/>
        </w:rPr>
        <w:t xml:space="preserve">по </w:t>
      </w:r>
      <w:r>
        <w:rPr>
          <w:rStyle w:val="CharStyle25"/>
        </w:rPr>
        <w:t>12.08.2026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20"/>
        <w:jc w:val="left"/>
      </w:pPr>
      <w:r>
        <w:drawing>
          <wp:anchor distT="0" distB="0" distL="114300" distR="1900555" simplePos="0" relativeHeight="125829383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54990"/>
            <wp:wrapSquare wrapText="right"/>
            <wp:docPr id="16" name="Shap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box 17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464185</wp:posOffset>
                </wp:positionV>
                <wp:extent cx="1283335" cy="100330"/>
                <wp:wrapNone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9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80.90000000000003pt;margin-top:36.550000000000004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9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147320</wp:posOffset>
                </wp:positionV>
                <wp:extent cx="1722120" cy="259080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77.75pt;margin-top:11.6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А.А. Матюшенко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Матюшенко Александр Александрович</w:t>
      </w:r>
      <w:r>
        <w:rPr>
          <w:rStyle w:val="CharStyle25"/>
          <w:color w:val="000000"/>
        </w:rPr>
        <w:t xml:space="preserve"> </w:t>
      </w: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4F595A5C3E5ABB2DD77161F08559FC07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25"/>
        </w:rPr>
        <w:t xml:space="preserve">Действителен с 22.07.2025 </w:t>
      </w:r>
      <w:r>
        <w:rPr>
          <w:rStyle w:val="CharStyle25"/>
          <w:color w:val="5D5D5D"/>
        </w:rPr>
        <w:t xml:space="preserve">по </w:t>
      </w:r>
      <w:r>
        <w:rPr>
          <w:rStyle w:val="CharStyle25"/>
        </w:rPr>
        <w:t>15.10.2026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440690" distB="0" distL="0" distR="0" simplePos="0" relativeHeight="125829384" behindDoc="0" locked="0" layoutInCell="1" allowOverlap="1">
                <wp:simplePos x="0" y="0"/>
                <wp:positionH relativeFrom="page">
                  <wp:posOffset>3528060</wp:posOffset>
                </wp:positionH>
                <wp:positionV relativeFrom="paragraph">
                  <wp:posOffset>440690</wp:posOffset>
                </wp:positionV>
                <wp:extent cx="1722120" cy="259080"/>
                <wp:wrapTopAndBottom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77.80000000000001pt;margin-top:34.700000000000003pt;width:135.59999999999999pt;height:20.400000000000002pt;z-index:-125829369;mso-wrap-distance-left:0;mso-wrap-distance-top:34.700000000000003pt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79400" distB="167640" distL="0" distR="0" simplePos="0" relativeHeight="125829386" behindDoc="0" locked="0" layoutInCell="1" allowOverlap="1">
                <wp:simplePos x="0" y="0"/>
                <wp:positionH relativeFrom="page">
                  <wp:posOffset>6170930</wp:posOffset>
                </wp:positionH>
                <wp:positionV relativeFrom="paragraph">
                  <wp:posOffset>279400</wp:posOffset>
                </wp:positionV>
                <wp:extent cx="1048385" cy="252730"/>
                <wp:wrapTopAndBottom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838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О.А. Челнова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485.90000000000003pt;margin-top:22.pt;width:82.549999999999997pt;height:19.900000000000002pt;z-index:-125829367;mso-wrap-distance-left:0;mso-wrap-distance-top:22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О.А. Челнова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20" w:right="0" w:firstLine="0"/>
        <w:jc w:val="left"/>
        <w:rPr>
          <w:sz w:val="12"/>
          <w:szCs w:val="12"/>
        </w:rPr>
      </w:pPr>
      <w:r>
        <w:rPr>
          <w:rStyle w:val="CharStyle22"/>
          <w:color w:val="FFFFFF"/>
          <w:sz w:val="12"/>
          <w:szCs w:val="12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Кому выдан: </w:t>
      </w:r>
      <w:r>
        <w:rPr>
          <w:rStyle w:val="CharStyle25"/>
          <w:color w:val="000000"/>
        </w:rPr>
        <w:t>Челнова Олеся Антоновна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5"/>
        </w:rPr>
        <w:t xml:space="preserve">Сертификат </w:t>
      </w:r>
      <w:r>
        <w:rPr>
          <w:rStyle w:val="CharStyle25"/>
          <w:color w:val="292929"/>
        </w:rPr>
        <w:t xml:space="preserve">№ </w:t>
      </w:r>
      <w:r>
        <w:rPr>
          <w:rStyle w:val="CharStyle25"/>
          <w:lang w:val="en-US" w:eastAsia="en-US"/>
        </w:rPr>
        <w:t>05605B6072C3BC92D25AFCA81C80B531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1080" w:line="240" w:lineRule="auto"/>
        <w:ind w:right="0" w:firstLine="0"/>
        <w:jc w:val="left"/>
      </w:pPr>
      <w:r>
        <w:rPr>
          <w:rStyle w:val="CharStyle25"/>
        </w:rPr>
        <w:t xml:space="preserve">Действителен с 23.05.2025 </w:t>
      </w:r>
      <w:r>
        <w:rPr>
          <w:rStyle w:val="CharStyle25"/>
          <w:color w:val="5D5D5D"/>
        </w:rPr>
        <w:t xml:space="preserve">по </w:t>
      </w:r>
      <w:r>
        <w:rPr>
          <w:rStyle w:val="CharStyle25"/>
        </w:rPr>
        <w:t>16.08.2026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0"/>
        </w:rPr>
        <w:t>Исп.Челнова О.А.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30"/>
        </w:rPr>
        <w:t>тел.(495) 784-75-05, вн. 077-216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65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10247630</wp:posOffset>
              </wp:positionV>
              <wp:extent cx="731520" cy="9144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2025-39322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6.75pt;margin-top:806.89999999999998pt;width:57.600000000000001pt;height:7.2000000000000002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2025-39322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733425</wp:posOffset>
              </wp:positionH>
              <wp:positionV relativeFrom="page">
                <wp:posOffset>9921875</wp:posOffset>
              </wp:positionV>
              <wp:extent cx="722630" cy="10350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2025-39322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75pt;margin-top:781.25pt;width:56.899999999999999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2025-39322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3887470</wp:posOffset>
              </wp:positionH>
              <wp:positionV relativeFrom="page">
                <wp:posOffset>476250</wp:posOffset>
              </wp:positionV>
              <wp:extent cx="140335" cy="6985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033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306.10000000000002pt;margin-top:37.5pt;width:11.050000000000001pt;height:5.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6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10">
    <w:name w:val="Heading #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Heading #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  <w:u w:val="none"/>
      <w:lang w:val="en-US" w:eastAsia="en-US"/>
    </w:rPr>
  </w:style>
  <w:style w:type="character" w:customStyle="1" w:styleId="CharStyle19">
    <w:name w:val="Picture caption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2">
    <w:name w:val="Body text (4)_"/>
    <w:basedOn w:val="DefaultParagraphFont"/>
    <w:link w:val="Style2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5">
    <w:name w:val="Body text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30">
    <w:name w:val="Body text (5)_"/>
    <w:basedOn w:val="DefaultParagraphFont"/>
    <w:link w:val="Styl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customStyle="1" w:styleId="Style9">
    <w:name w:val="Heading #2"/>
    <w:basedOn w:val="Normal"/>
    <w:link w:val="CharStyle10"/>
    <w:pPr>
      <w:widowControl w:val="0"/>
      <w:shd w:val="clear" w:color="auto" w:fill="auto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spacing w:line="257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Heading #1"/>
    <w:basedOn w:val="Normal"/>
    <w:link w:val="CharStyle15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  <w:u w:val="none"/>
      <w:lang w:val="en-US" w:eastAsia="en-US"/>
    </w:rPr>
  </w:style>
  <w:style w:type="paragraph" w:customStyle="1" w:styleId="Style18">
    <w:name w:val="Picture caption"/>
    <w:basedOn w:val="Normal"/>
    <w:link w:val="CharStyle19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1">
    <w:name w:val="Body text (4)"/>
    <w:basedOn w:val="Normal"/>
    <w:link w:val="CharStyle22"/>
    <w:pPr>
      <w:widowControl w:val="0"/>
      <w:shd w:val="clear" w:color="auto" w:fill="auto"/>
      <w:spacing w:after="40"/>
      <w:ind w:left="226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4">
    <w:name w:val="Body text (2)"/>
    <w:basedOn w:val="Normal"/>
    <w:link w:val="CharStyle25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9">
    <w:name w:val="Body text (5)"/>
    <w:basedOn w:val="Normal"/>
    <w:link w:val="CharStyle30"/>
    <w:pPr>
      <w:widowControl w:val="0"/>
      <w:shd w:val="clear" w:color="auto" w:fill="auto"/>
      <w:spacing w:after="3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header" Target="header1.xml"/><Relationship Id="rId9" Type="http://schemas.openxmlformats.org/officeDocument/2006/relationships/footer" Target="footer2.xml"/><Relationship Id="rId10" Type="http://schemas.openxmlformats.org/officeDocument/2006/relationships/image" Target="media/image2.jpeg"/><Relationship Id="rId11" Type="http://schemas.openxmlformats.org/officeDocument/2006/relationships/image" Target="media/image2.jpeg" TargetMode="External"/><Relationship Id="rId12" Type="http://schemas.openxmlformats.org/officeDocument/2006/relationships/image" Target="media/image3.jpeg"/><Relationship Id="rId13" Type="http://schemas.openxmlformats.org/officeDocument/2006/relationships/image" Target="media/image3.jpeg" TargetMode="External"/></Relationships>
</file>