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01.09.2025</w:t>
        <w:tab/>
      </w:r>
      <w:r>
        <w:fldChar w:fldCharType="end"/>
      </w:r>
      <w:r>
        <w:rPr>
          <w:rStyle w:val="CharStyle10"/>
        </w:rPr>
        <w:t>№ 34981/25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ГБУ «Реабилитационный центр для инвалидов по зрению»</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"mailto:gbupdipz@mos.ru" </w:instrText>
      </w:r>
      <w:r>
        <w:fldChar w:fldCharType="separate"/>
      </w:r>
      <w:r>
        <w:rPr>
          <w:rStyle w:val="CharStyle12"/>
          <w:lang w:val="en-US" w:eastAsia="en-US"/>
        </w:rPr>
        <w:t>gbupdipz@mos.ru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ГБУ НПГЦ</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"mailto:sd-32gz@social.mos.ru" </w:instrText>
      </w:r>
      <w:r>
        <w:fldChar w:fldCharType="separate"/>
      </w:r>
      <w:r>
        <w:rPr>
          <w:rStyle w:val="CharStyle12"/>
          <w:lang w:val="en-US" w:eastAsia="en-US"/>
        </w:rPr>
        <w:t>sd-32gz@social.mos.ru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«ВЕРАДЕЗ»</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175" w:bottom="708" w:left="1265" w:header="0" w:footer="3" w:gutter="0"/>
          <w:pgNumType w:start="1"/>
          <w:cols w:num="2" w:space="720" w:equalWidth="0">
            <w:col w:w="3835" w:space="1306"/>
            <w:col w:w="4320"/>
          </w:cols>
          <w:noEndnote/>
          <w:titlePg/>
          <w:rtlGutter w:val="0"/>
          <w:docGrid w:linePitch="360"/>
        </w:sectPr>
      </w:pPr>
      <w:r>
        <w:fldChar w:fldCharType="begin"/>
      </w:r>
      <w:r>
        <w:rPr/>
        <w:instrText> HYPERLINK "mailto:istomina-1985@mail.ru" </w:instrText>
      </w:r>
      <w:r>
        <w:fldChar w:fldCharType="separate"/>
      </w:r>
      <w:r>
        <w:rPr>
          <w:rStyle w:val="CharStyle12"/>
          <w:lang w:val="en-US" w:eastAsia="en-US"/>
        </w:rPr>
        <w:t>istomina-1985@mail.ru</w:t>
      </w:r>
      <w:r>
        <w:fldChar w:fldCharType="end"/>
      </w:r>
    </w:p>
    <w:p>
      <w:pPr>
        <w:widowControl w:val="0"/>
        <w:spacing w:line="240" w:lineRule="exact"/>
        <w:rPr>
          <w:sz w:val="19"/>
          <w:szCs w:val="19"/>
        </w:rPr>
      </w:pPr>
    </w:p>
    <w:p>
      <w:pPr>
        <w:widowControl w:val="0"/>
        <w:spacing w:before="45" w:after="4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62" w:right="0" w:bottom="1067"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890"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077/06/106-10603/2025 </w:t>
      </w:r>
      <w:r>
        <w:rPr>
          <w:rStyle w:val="CharStyle12"/>
          <w:b/>
          <w:bCs/>
        </w:rPr>
        <w:t>о нарушении</w:t>
        <w:br/>
        <w:t>законодательства о контрактной системе</w:t>
        <w:br/>
      </w:r>
      <w:r>
        <w:rPr>
          <w:rStyle w:val="CharStyle12"/>
          <w:b/>
          <w:bCs/>
          <w:lang w:val="en-US" w:eastAsia="en-US"/>
        </w:rPr>
        <w:t>27.08.2025</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специалиста-эксперта отдела обжалования государственных закупок Е.Д. Мартьяновой,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А.А. Леоновой,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ГБУ НПГЦ: Л.М. Кандеро (доверенность от </w:t>
      </w:r>
      <w:r>
        <w:rPr>
          <w:rStyle w:val="CharStyle12"/>
          <w:lang w:val="en-US" w:eastAsia="en-US"/>
        </w:rPr>
        <w:t xml:space="preserve">26.08.2025 № </w:t>
      </w:r>
      <w:r>
        <w:rPr>
          <w:rStyle w:val="CharStyle12"/>
        </w:rPr>
        <w:t xml:space="preserve">б/н), А.А. Рязановой (доверенность от </w:t>
      </w:r>
      <w:r>
        <w:rPr>
          <w:rStyle w:val="CharStyle12"/>
          <w:lang w:val="en-US" w:eastAsia="en-US"/>
        </w:rPr>
        <w:t xml:space="preserve">08.08.2025 № </w:t>
      </w:r>
      <w:r>
        <w:rPr>
          <w:rStyle w:val="CharStyle12"/>
        </w:rPr>
        <w:t>б/н),</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отсутствии представителей ООО «ВЕРАДЕЗ»,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«ВЕРАДЕЗ» (далее </w:t>
      </w:r>
      <w:r>
        <w:rPr>
          <w:rStyle w:val="CharStyle12"/>
          <w:lang w:val="en-US" w:eastAsia="en-US"/>
        </w:rPr>
        <w:t xml:space="preserve">— </w:t>
      </w:r>
      <w:r>
        <w:rPr>
          <w:rStyle w:val="CharStyle12"/>
        </w:rPr>
        <w:t xml:space="preserve">Заявитель) на действия ГБУ НПГЦ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средств дезинфицирующих (Закупка </w:t>
      </w:r>
      <w:r>
        <w:rPr>
          <w:rStyle w:val="CharStyle12"/>
          <w:lang w:val="en-US" w:eastAsia="en-US"/>
        </w:rPr>
        <w:t xml:space="preserve">№ 0373200136625000056)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after="55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63500</wp:posOffset>
            </wp:positionV>
            <wp:extent cx="1511935" cy="29273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Заявитель обжалует положения извещения об осуществлении закупки, установленные, по его мнению, в нарушение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составе жалобы Заявитель указывает, что Заказчиком неправомерно установлено ограничение на закупку товаров, происходящих из иностранных государств, выполняемых работ, оказываемых услуг иностранными лицами, согласно постановлению Правительства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1875), </w:t>
      </w:r>
      <w:r>
        <w:rPr>
          <w:rStyle w:val="CharStyle12"/>
        </w:rPr>
        <w:t xml:space="preserve">поскольку закупается, в частности товар с кодом КТРУ </w:t>
      </w:r>
      <w:r>
        <w:rPr>
          <w:rStyle w:val="CharStyle12"/>
          <w:lang w:val="en-US" w:eastAsia="en-US"/>
        </w:rPr>
        <w:t>20.20.14.000</w:t>
        <w:softHyphen/>
        <w:t xml:space="preserve">00000005, </w:t>
      </w:r>
      <w:r>
        <w:rPr>
          <w:rStyle w:val="CharStyle12"/>
        </w:rPr>
        <w:t xml:space="preserve">кодом ОКПД2 </w:t>
      </w:r>
      <w:r>
        <w:rPr>
          <w:rStyle w:val="CharStyle12"/>
          <w:lang w:val="en-US" w:eastAsia="en-US"/>
        </w:rPr>
        <w:t xml:space="preserve">20.20.14.000, </w:t>
      </w:r>
      <w:r>
        <w:rPr>
          <w:rStyle w:val="CharStyle12"/>
        </w:rPr>
        <w:t xml:space="preserve">который, по мнению Заявителя, Заказчик относит к п.49 Приложения </w:t>
      </w:r>
      <w:r>
        <w:rPr>
          <w:rStyle w:val="CharStyle12"/>
          <w:lang w:val="en-US" w:eastAsia="en-US"/>
        </w:rPr>
        <w:t xml:space="preserve">№ 2 </w:t>
      </w:r>
      <w:r>
        <w:rPr>
          <w:rStyle w:val="CharStyle12"/>
        </w:rPr>
        <w:t xml:space="preserve">к Постановлению </w:t>
      </w:r>
      <w:r>
        <w:rPr>
          <w:rStyle w:val="CharStyle12"/>
          <w:lang w:val="en-US" w:eastAsia="en-US"/>
        </w:rPr>
        <w:t xml:space="preserve">№ 1875, </w:t>
      </w:r>
      <w:r>
        <w:rPr>
          <w:rStyle w:val="CharStyle12"/>
        </w:rPr>
        <w:t xml:space="preserve">при этом в графе «Наименование товара» данного пункта с указанным кодом предусмотрены иные изделия </w:t>
      </w:r>
      <w:r>
        <w:rPr>
          <w:rStyle w:val="CharStyle12"/>
          <w:lang w:val="en-US" w:eastAsia="en-US"/>
        </w:rPr>
        <w:t xml:space="preserve">- </w:t>
      </w:r>
      <w:r>
        <w:rPr>
          <w:rStyle w:val="CharStyle12"/>
        </w:rPr>
        <w:t xml:space="preserve">«Пестициды и агрохимические продукты прочие, за исключением медицинских изделий, содержащих антисептические и дезинфицирующие препараты, из числа товаров, относящихся к коду </w:t>
      </w:r>
      <w:r>
        <w:rPr>
          <w:rStyle w:val="CharStyle12"/>
          <w:lang w:val="en-US" w:eastAsia="en-US"/>
        </w:rPr>
        <w:t xml:space="preserve">20.20.14.000 </w:t>
      </w:r>
      <w:r>
        <w:rPr>
          <w:rStyle w:val="CharStyle12"/>
        </w:rPr>
        <w:t xml:space="preserve">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не являющиеся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 xml:space="preserve">российское лицо), за исключением случаев принятия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силу ч.2 ст.14 Закона о контрактной системе Правительство Российской Федерации:</w:t>
      </w:r>
    </w:p>
    <w:p>
      <w:pPr>
        <w:pStyle w:val="Style11"/>
        <w:keepNext w:val="0"/>
        <w:keepLines w:val="0"/>
        <w:widowControl w:val="0"/>
        <w:numPr>
          <w:ilvl w:val="0"/>
          <w:numId w:val="1"/>
        </w:numPr>
        <w:shd w:val="clear" w:color="auto" w:fill="auto"/>
        <w:tabs>
          <w:tab w:pos="1100" w:val="left"/>
        </w:tabs>
        <w:bidi w:val="0"/>
        <w:spacing w:before="0" w:after="0" w:line="240" w:lineRule="auto"/>
        <w:ind w:left="0" w:right="0" w:firstLine="720"/>
        <w:jc w:val="both"/>
      </w:pPr>
      <w:r>
        <w:rPr>
          <w:rStyle w:val="CharStyle12"/>
        </w:rPr>
        <w:t xml:space="preserve">вправе с учетом положений части </w:t>
      </w:r>
      <w:r>
        <w:rPr>
          <w:rStyle w:val="CharStyle12"/>
          <w:lang w:val="en-US" w:eastAsia="en-US"/>
        </w:rPr>
        <w:t xml:space="preserve">3 </w:t>
      </w:r>
      <w:r>
        <w:rPr>
          <w:rStyle w:val="CharStyle12"/>
        </w:rPr>
        <w:t>настоящей статьи принимать меры, устанавливающие:</w:t>
      </w:r>
    </w:p>
    <w:p>
      <w:pPr>
        <w:pStyle w:val="Style11"/>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numPr>
          <w:ilvl w:val="0"/>
          <w:numId w:val="1"/>
        </w:numPr>
        <w:shd w:val="clear" w:color="auto" w:fill="auto"/>
        <w:tabs>
          <w:tab w:pos="1100" w:val="left"/>
        </w:tabs>
        <w:bidi w:val="0"/>
        <w:spacing w:before="0" w:after="0" w:line="240" w:lineRule="auto"/>
        <w:ind w:left="0" w:right="0" w:firstLine="720"/>
        <w:jc w:val="both"/>
      </w:pPr>
      <w:r>
        <w:rPr>
          <w:rStyle w:val="CharStyle12"/>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2"/>
          <w:lang w:val="en-US" w:eastAsia="en-US"/>
        </w:rPr>
        <w:t xml:space="preserve">1 </w:t>
      </w:r>
      <w:r>
        <w:rPr>
          <w:rStyle w:val="CharStyle12"/>
        </w:rPr>
        <w:t>настоящей части.</w:t>
      </w:r>
    </w:p>
    <w:p>
      <w:pPr>
        <w:pStyle w:val="Style11"/>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662" w:right="543" w:bottom="1067" w:left="1099" w:header="0" w:footer="3" w:gutter="0"/>
          <w:cols w:space="720"/>
          <w:noEndnote/>
          <w:rtlGutter w:val="0"/>
          <w:docGrid w:linePitch="360"/>
        </w:sectPr>
      </w:pPr>
      <w:r>
        <w:rPr>
          <w:rStyle w:val="CharStyle12"/>
        </w:rPr>
        <w:t xml:space="preserve">В силу абз.3 п.1 Постановления </w:t>
      </w:r>
      <w:r>
        <w:rPr>
          <w:rStyle w:val="CharStyle12"/>
          <w:lang w:val="en-US" w:eastAsia="en-US"/>
        </w:rPr>
        <w:t xml:space="preserve">№ 1875 </w:t>
      </w:r>
      <w:r>
        <w:rPr>
          <w:rStyle w:val="CharStyle12"/>
        </w:rPr>
        <w:t xml:space="preserve">установить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2.</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пп. «д» п. </w:t>
      </w:r>
      <w:r>
        <w:rPr>
          <w:rStyle w:val="CharStyle12"/>
          <w:lang w:val="en-US" w:eastAsia="en-US"/>
        </w:rPr>
        <w:t xml:space="preserve">4 </w:t>
      </w:r>
      <w:r>
        <w:rPr>
          <w:rStyle w:val="CharStyle12"/>
        </w:rPr>
        <w:t xml:space="preserve">Постановления Правительства РФ </w:t>
      </w:r>
      <w:r>
        <w:rPr>
          <w:rStyle w:val="CharStyle12"/>
          <w:lang w:val="en-US" w:eastAsia="en-US"/>
        </w:rPr>
        <w:t xml:space="preserve">№1875 </w:t>
      </w:r>
      <w:r>
        <w:rPr>
          <w:rStyle w:val="CharStyle12"/>
        </w:rPr>
        <w:t xml:space="preserve">позиции приложения </w:t>
      </w:r>
      <w:r>
        <w:rPr>
          <w:rStyle w:val="CharStyle12"/>
          <w:lang w:val="en-US" w:eastAsia="en-US"/>
        </w:rPr>
        <w:t xml:space="preserve">№1 </w:t>
      </w:r>
      <w:r>
        <w:rPr>
          <w:rStyle w:val="CharStyle12"/>
        </w:rPr>
        <w:t xml:space="preserve">и приложения </w:t>
      </w:r>
      <w:r>
        <w:rPr>
          <w:rStyle w:val="CharStyle12"/>
          <w:lang w:val="en-US" w:eastAsia="en-US"/>
        </w:rPr>
        <w:t xml:space="preserve">№2 </w:t>
      </w:r>
      <w:r>
        <w:rPr>
          <w:rStyle w:val="CharStyle12"/>
        </w:rPr>
        <w:t xml:space="preserve">к данному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Комиссией Управления установлено, что согласно извещению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12"/>
          <w:lang w:val="en-US" w:eastAsia="en-US"/>
        </w:rPr>
        <w:t xml:space="preserve">№ 1875 </w:t>
      </w:r>
      <w:r>
        <w:rPr>
          <w:rStyle w:val="CharStyle12"/>
        </w:rPr>
        <w:t>в отношении всех закупаемых товаров.</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ч. </w:t>
      </w:r>
      <w:r>
        <w:rPr>
          <w:rStyle w:val="CharStyle12"/>
          <w:lang w:val="en-US" w:eastAsia="en-US"/>
        </w:rPr>
        <w:t xml:space="preserve">1 </w:t>
      </w:r>
      <w:r>
        <w:rPr>
          <w:rStyle w:val="CharStyle12"/>
        </w:rPr>
        <w:t xml:space="preserve">ст. </w:t>
      </w:r>
      <w:r>
        <w:rPr>
          <w:rStyle w:val="CharStyle12"/>
          <w:lang w:val="en-US" w:eastAsia="en-US"/>
        </w:rPr>
        <w:t xml:space="preserve">106 </w:t>
      </w:r>
      <w:r>
        <w:rPr>
          <w:rStyle w:val="CharStyle12"/>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заседании Комиссии Управления представитель Заказчика пояснил, что в перечнях </w:t>
      </w:r>
      <w:r>
        <w:rPr>
          <w:rStyle w:val="CharStyle12"/>
          <w:lang w:val="en-US" w:eastAsia="en-US"/>
        </w:rPr>
        <w:t xml:space="preserve">№1-№3 </w:t>
      </w:r>
      <w:r>
        <w:rPr>
          <w:rStyle w:val="CharStyle12"/>
        </w:rPr>
        <w:t>в графах «Наименование товара, работы, услуги» и «Наименование товара» с учетом поступивших в Минфин России предложений федеральных органов исполнительной власти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Таким образом, соответствующая «защитная» мера распространяется на_всю указанную в позиции перечней </w:t>
      </w:r>
      <w:r>
        <w:rPr>
          <w:rStyle w:val="CharStyle12"/>
          <w:lang w:val="en-US" w:eastAsia="en-US"/>
        </w:rPr>
        <w:t xml:space="preserve">№ 1 - № 3 </w:t>
      </w:r>
      <w:r>
        <w:rPr>
          <w:rStyle w:val="CharStyle12"/>
        </w:rPr>
        <w:t xml:space="preserve">группу товаров, работ, услуг по ОКПД2, то есть на все товары, работы, услуги, включенные в указанную в соответствующей позиции перечней </w:t>
      </w:r>
      <w:r>
        <w:rPr>
          <w:rStyle w:val="CharStyle12"/>
          <w:lang w:val="en-US" w:eastAsia="en-US"/>
        </w:rPr>
        <w:t xml:space="preserve">№ 1 - № 3 </w:t>
      </w:r>
      <w:r>
        <w:rPr>
          <w:rStyle w:val="CharStyle12"/>
        </w:rPr>
        <w:t xml:space="preserve">группировку по ОКПД2, ввиду чего Заказчик правомерно установил в извещении о закупке ограничение товаров, указанных в Приложении </w:t>
      </w:r>
      <w:r>
        <w:rPr>
          <w:rStyle w:val="CharStyle12"/>
          <w:lang w:val="en-US" w:eastAsia="en-US"/>
        </w:rPr>
        <w:t xml:space="preserve">№2 </w:t>
      </w:r>
      <w:r>
        <w:rPr>
          <w:rStyle w:val="CharStyle12"/>
        </w:rPr>
        <w:t xml:space="preserve">Постановления </w:t>
      </w:r>
      <w:r>
        <w:rPr>
          <w:rStyle w:val="CharStyle12"/>
          <w:lang w:val="en-US" w:eastAsia="en-US"/>
        </w:rPr>
        <w:t>№ 1875.</w:t>
      </w:r>
    </w:p>
    <w:p>
      <w:pPr>
        <w:pStyle w:val="Style11"/>
        <w:keepNext w:val="0"/>
        <w:keepLines w:val="0"/>
        <w:widowControl w:val="0"/>
        <w:shd w:val="clear" w:color="auto" w:fill="auto"/>
        <w:bidi w:val="0"/>
        <w:spacing w:before="0" w:after="0" w:line="262" w:lineRule="auto"/>
        <w:ind w:left="0" w:right="0" w:firstLine="740"/>
        <w:jc w:val="both"/>
        <w:rPr>
          <w:sz w:val="24"/>
          <w:szCs w:val="24"/>
        </w:rPr>
        <w:sectPr>
          <w:headerReference w:type="default" r:id="rId13"/>
          <w:footerReference w:type="default" r:id="rId14"/>
          <w:footnotePr>
            <w:pos w:val="pageBottom"/>
            <w:numFmt w:val="decimal"/>
            <w:numRestart w:val="continuous"/>
          </w:footnotePr>
          <w:pgSz w:w="11900" w:h="16840"/>
          <w:pgMar w:top="1162" w:right="555" w:bottom="692" w:left="1106" w:header="0" w:footer="264" w:gutter="0"/>
          <w:cols w:space="720"/>
          <w:noEndnote/>
          <w:rtlGutter w:val="0"/>
          <w:docGrid w:linePitch="360"/>
        </w:sectPr>
      </w:pPr>
      <w:r>
        <w:rPr>
          <w:rStyle w:val="CharStyle12"/>
        </w:rPr>
        <w:t xml:space="preserve">В свою очередь, Комиссия Управления отмечает, что Заказчиком закупаются средства дезинфицирующее с позициями КТРУ </w:t>
      </w:r>
      <w:r>
        <w:rPr>
          <w:rStyle w:val="CharStyle12"/>
          <w:lang w:val="en-US" w:eastAsia="en-US"/>
        </w:rPr>
        <w:t xml:space="preserve">20.20.14.000-00000002, 20.20.14.000-00000005, 20.20.14.000-00000009, </w:t>
      </w:r>
      <w:r>
        <w:rPr>
          <w:rStyle w:val="CharStyle12"/>
        </w:rPr>
        <w:t xml:space="preserve">кодом ОКПД2 </w:t>
      </w:r>
      <w:r>
        <w:rPr>
          <w:rStyle w:val="CharStyle12"/>
          <w:lang w:val="en-US" w:eastAsia="en-US"/>
        </w:rPr>
        <w:t xml:space="preserve">20.20.14.000, </w:t>
      </w:r>
      <w:r>
        <w:rPr>
          <w:rStyle w:val="CharStyle12"/>
        </w:rPr>
        <w:t xml:space="preserve">который указан в позиции </w:t>
      </w:r>
      <w:r>
        <w:rPr>
          <w:rStyle w:val="CharStyle12"/>
          <w:lang w:val="en-US" w:eastAsia="en-US"/>
        </w:rPr>
        <w:t xml:space="preserve">49 </w:t>
      </w:r>
      <w:r>
        <w:rPr>
          <w:rStyle w:val="CharStyle12"/>
        </w:rPr>
        <w:t xml:space="preserve">«Пестициды и агрохимические продукты прочие, за исключением медицинских изделий, содержащих антисептические и </w:t>
      </w:r>
      <w:r>
        <w:rPr>
          <w:rStyle w:val="CharStyle12"/>
          <w:sz w:val="24"/>
          <w:szCs w:val="24"/>
          <w:lang w:val="en-US" w:eastAsia="en-US"/>
        </w:rPr>
        <w:t>2025-39481</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дезинфицирующие препараты, из числа товаров, относящихся к коду </w:t>
      </w:r>
      <w:r>
        <w:rPr>
          <w:rStyle w:val="CharStyle12"/>
          <w:lang w:val="en-US" w:eastAsia="en-US"/>
        </w:rPr>
        <w:t xml:space="preserve">20.20.14.000 </w:t>
      </w:r>
      <w:r>
        <w:rPr>
          <w:rStyle w:val="CharStyle12"/>
        </w:rPr>
        <w:t xml:space="preserve">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 xml:space="preserve">приложения </w:t>
      </w:r>
      <w:r>
        <w:rPr>
          <w:rStyle w:val="CharStyle12"/>
          <w:lang w:val="en-US" w:eastAsia="en-US"/>
        </w:rPr>
        <w:t xml:space="preserve">№ 2 </w:t>
      </w:r>
      <w:r>
        <w:rPr>
          <w:rStyle w:val="CharStyle12"/>
        </w:rPr>
        <w:t xml:space="preserve">к Постановлению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Кроме того, Комиссия Управления также отмечает, что согласно абз.3 п.3.2 информационного письма Министерства финансов Российской Федерации от </w:t>
      </w:r>
      <w:r>
        <w:rPr>
          <w:rStyle w:val="CharStyle12"/>
          <w:lang w:val="en-US" w:eastAsia="en-US"/>
        </w:rPr>
        <w:t xml:space="preserve">31.01.2025 № 24-01-06/8697 </w:t>
      </w:r>
      <w:r>
        <w:rPr>
          <w:rStyle w:val="CharStyle12"/>
        </w:rPr>
        <w:t xml:space="preserve">при применении Постановления </w:t>
      </w:r>
      <w:r>
        <w:rPr>
          <w:rStyle w:val="CharStyle12"/>
          <w:lang w:val="en-US" w:eastAsia="en-US"/>
        </w:rPr>
        <w:t xml:space="preserve">№ 1875 </w:t>
      </w:r>
      <w:r>
        <w:rPr>
          <w:rStyle w:val="CharStyle12"/>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наименованиями, указанным в перечнях </w:t>
      </w:r>
      <w:r>
        <w:rPr>
          <w:rStyle w:val="CharStyle12"/>
          <w:lang w:val="en-US" w:eastAsia="en-US"/>
        </w:rPr>
        <w:t>№1-№3.</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Таким образом, Комиссия Управления приходит к выводу, что Заказчиком правомерно установлено ограничение к закупаемому товару в соответствии с Постановлением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Аналогичная позиция изложена в решении ФАС России от </w:t>
      </w:r>
      <w:r>
        <w:rPr>
          <w:rStyle w:val="CharStyle12"/>
          <w:lang w:val="en-US" w:eastAsia="en-US"/>
        </w:rPr>
        <w:t xml:space="preserve">17.04.2025 </w:t>
      </w:r>
      <w:r>
        <w:rPr>
          <w:rStyle w:val="CharStyle12"/>
        </w:rPr>
        <w:t xml:space="preserve">по делу </w:t>
      </w:r>
      <w:r>
        <w:rPr>
          <w:rStyle w:val="CharStyle12"/>
          <w:lang w:val="en-US" w:eastAsia="en-US"/>
        </w:rPr>
        <w:t xml:space="preserve">№ </w:t>
      </w:r>
      <w:r>
        <w:rPr>
          <w:rStyle w:val="CharStyle12"/>
        </w:rPr>
        <w:t>25/44/99/П21.</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 том, что довод жалобы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0" w:line="240" w:lineRule="auto"/>
        <w:ind w:left="0" w:right="0" w:firstLine="740"/>
        <w:jc w:val="both"/>
        <w:sectPr>
          <w:headerReference w:type="default" r:id="rId15"/>
          <w:footerReference w:type="default" r:id="rId16"/>
          <w:footnotePr>
            <w:pos w:val="pageBottom"/>
            <w:numFmt w:val="decimal"/>
            <w:numRestart w:val="continuous"/>
          </w:footnotePr>
          <w:pgSz w:w="11900" w:h="16840"/>
          <w:pgMar w:top="1162" w:right="555" w:bottom="1162" w:left="1106"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 Е Ш И Л А:</w:t>
      </w:r>
    </w:p>
    <w:p>
      <w:pPr>
        <w:pStyle w:val="Style11"/>
        <w:keepNext w:val="0"/>
        <w:keepLines w:val="0"/>
        <w:widowControl w:val="0"/>
        <w:numPr>
          <w:ilvl w:val="0"/>
          <w:numId w:val="5"/>
        </w:numPr>
        <w:shd w:val="clear" w:color="auto" w:fill="auto"/>
        <w:tabs>
          <w:tab w:pos="1016" w:val="left"/>
        </w:tabs>
        <w:bidi w:val="0"/>
        <w:spacing w:before="0" w:after="0" w:line="240" w:lineRule="auto"/>
        <w:ind w:left="0" w:right="0" w:firstLine="700"/>
        <w:jc w:val="both"/>
      </w:pPr>
      <w:r>
        <w:rPr>
          <w:rStyle w:val="CharStyle12"/>
        </w:rPr>
        <w:t>.Признать жалобу ООО «ВЕРАДЕЗ» на действия ГБУ НПГЦ необоснованной.</w:t>
      </w:r>
    </w:p>
    <w:p>
      <w:pPr>
        <w:pStyle w:val="Style11"/>
        <w:keepNext w:val="0"/>
        <w:keepLines w:val="0"/>
        <w:widowControl w:val="0"/>
        <w:numPr>
          <w:ilvl w:val="0"/>
          <w:numId w:val="5"/>
        </w:numPr>
        <w:shd w:val="clear" w:color="auto" w:fill="auto"/>
        <w:tabs>
          <w:tab w:pos="1016" w:val="left"/>
        </w:tabs>
        <w:bidi w:val="0"/>
        <w:spacing w:before="0" w:after="280" w:line="240" w:lineRule="auto"/>
        <w:ind w:left="0" w:right="0" w:firstLine="700"/>
        <w:jc w:val="both"/>
      </w:pPr>
      <w:r>
        <w:rPr>
          <w:rStyle w:val="CharStyle12"/>
          <w:lang w:val="en-US" w:eastAsia="en-US"/>
        </w:rPr>
        <w:t xml:space="preserve">. </w:t>
      </w:r>
      <w:r>
        <w:rPr>
          <w:rStyle w:val="CharStyle12"/>
        </w:rPr>
        <w:t>Снять ограничения на определение поставщика (подрядчика, исполнителя), наложенные Московским УФАС России.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268" w:left="1106" w:header="0" w:footer="3" w:gutter="0"/>
          <w:cols w:space="720"/>
          <w:noEndnote/>
          <w:rtlGutter w:val="0"/>
          <w:docGrid w:linePitch="360"/>
        </w:sectPr>
      </w:pPr>
      <w:r>
        <mc:AlternateContent>
          <mc:Choice Requires="wps">
            <w:drawing>
              <wp:anchor distT="127000" distB="167640" distL="0" distR="0" simplePos="0" relativeHeight="125829378" behindDoc="0" locked="0" layoutInCell="1" allowOverlap="1">
                <wp:simplePos x="0" y="0"/>
                <wp:positionH relativeFrom="page">
                  <wp:posOffset>739140</wp:posOffset>
                </wp:positionH>
                <wp:positionV relativeFrom="paragraph">
                  <wp:posOffset>127000</wp:posOffset>
                </wp:positionV>
                <wp:extent cx="1844040" cy="252730"/>
                <wp:wrapTopAndBottom/>
                <wp:docPr id="16" name="Shape 16"/>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8.200000000000003pt;margin-top:10.pt;width:145.20000000000002pt;height:19.900000000000002pt;z-index:-125829375;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mc:AlternateContent>
          <mc:Choice Requires="wps">
            <w:drawing>
              <wp:anchor distT="288290" distB="0" distL="0" distR="0" simplePos="0" relativeHeight="125829380" behindDoc="0" locked="0" layoutInCell="1" allowOverlap="1">
                <wp:simplePos x="0" y="0"/>
                <wp:positionH relativeFrom="page">
                  <wp:posOffset>3528060</wp:posOffset>
                </wp:positionH>
                <wp:positionV relativeFrom="paragraph">
                  <wp:posOffset>288290</wp:posOffset>
                </wp:positionV>
                <wp:extent cx="1722120" cy="259080"/>
                <wp:wrapTopAndBottom/>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80000000000001pt;margin-top:22.699999999999999pt;width:135.59999999999999pt;height:20.400000000000002pt;z-index:-125829373;mso-wrap-distance-left:0;mso-wrap-distance-top:22.699999999999999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2" behindDoc="0" locked="0" layoutInCell="1" allowOverlap="1">
                <wp:simplePos x="0" y="0"/>
                <wp:positionH relativeFrom="page">
                  <wp:posOffset>6082030</wp:posOffset>
                </wp:positionH>
                <wp:positionV relativeFrom="paragraph">
                  <wp:posOffset>127000</wp:posOffset>
                </wp:positionV>
                <wp:extent cx="1136650" cy="252730"/>
                <wp:wrapTopAndBottom/>
                <wp:docPr id="20" name="Shape 20"/>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wps:txbx>
                      <wps:bodyPr wrap="none" lIns="0" tIns="0" rIns="0" bIns="0">
                        <a:noAutoFit/>
                      </wps:bodyPr>
                    </wps:wsp>
                  </a:graphicData>
                </a:graphic>
              </wp:anchor>
            </w:drawing>
          </mc:Choice>
          <mc:Fallback>
            <w:pict>
              <v:shape id="_x0000_s1046" type="#_x0000_t202" style="position:absolute;margin-left:478.90000000000003pt;margin-top:10.pt;width:89.5pt;height:19.900000000000002pt;z-index:-125829371;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6"/>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color w:val="292929"/>
        </w:rPr>
        <w:t xml:space="preserve">Сертификат № </w:t>
      </w:r>
      <w:r>
        <w:rPr>
          <w:rStyle w:val="CharStyle22"/>
          <w:color w:val="5D5D5D"/>
        </w:rPr>
        <w:t>00831</w:t>
      </w:r>
      <w:r>
        <w:rPr>
          <w:rStyle w:val="CharStyle22"/>
          <w:lang w:val="en-US" w:eastAsia="en-US"/>
        </w:rPr>
        <w:t>B7545C61281C4BAB156778A683BFB</w:t>
      </w:r>
    </w:p>
    <w:p>
      <w:pPr>
        <w:pStyle w:val="Style21"/>
        <w:keepNext w:val="0"/>
        <w:keepLines w:val="0"/>
        <w:widowControl w:val="0"/>
        <w:shd w:val="clear" w:color="auto" w:fill="auto"/>
        <w:bidi w:val="0"/>
        <w:spacing w:before="0" w:after="280" w:line="240" w:lineRule="auto"/>
        <w:ind w:right="0" w:firstLine="0"/>
        <w:jc w:val="left"/>
      </w:pPr>
      <w:r>
        <w:rPr>
          <w:rStyle w:val="CharStyle22"/>
        </w:rPr>
        <w:t xml:space="preserve">Действителен с </w:t>
      </w:r>
      <w:r>
        <w:rPr>
          <w:rStyle w:val="CharStyle22"/>
          <w:color w:val="292929"/>
        </w:rPr>
        <w:t xml:space="preserve">17.07.2025 </w:t>
      </w:r>
      <w:r>
        <w:rPr>
          <w:rStyle w:val="CharStyle22"/>
          <w:color w:val="5D5D5D"/>
        </w:rPr>
        <w:t xml:space="preserve">по </w:t>
      </w:r>
      <w:r>
        <w:rPr>
          <w:rStyle w:val="CharStyle22"/>
        </w:rPr>
        <w:t>10.10.2026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70" w:line="240" w:lineRule="auto"/>
        <w:ind w:left="0" w:right="0" w:firstLine="880"/>
        <w:jc w:val="left"/>
      </w:pPr>
      <w:r>
        <w:drawing>
          <wp:anchor distT="0" distB="0" distL="114300" distR="1900555" simplePos="0" relativeHeight="125829384" behindDoc="0" locked="0" layoutInCell="1" allowOverlap="1">
            <wp:simplePos x="0" y="0"/>
            <wp:positionH relativeFrom="page">
              <wp:posOffset>3107055</wp:posOffset>
            </wp:positionH>
            <wp:positionV relativeFrom="paragraph">
              <wp:posOffset>63500</wp:posOffset>
            </wp:positionV>
            <wp:extent cx="359410" cy="39624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3527425</wp:posOffset>
                </wp:positionH>
                <wp:positionV relativeFrom="paragraph">
                  <wp:posOffset>151765</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75pt;margin-top:11.950000000000001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Е.Д. Мартьянова</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6"/>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Мартьянова Елена Дмитриевна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009EC19D0AD083DC593EE489E44F6A415</w:t>
      </w:r>
      <w:r>
        <w:rPr>
          <w:rStyle w:val="CharStyle22"/>
          <w:lang w:val="en-US" w:eastAsia="en-US"/>
        </w:rPr>
        <w:t>7</w:t>
      </w:r>
    </w:p>
    <w:p>
      <w:pPr>
        <w:pStyle w:val="Style21"/>
        <w:keepNext w:val="0"/>
        <w:keepLines w:val="0"/>
        <w:widowControl w:val="0"/>
        <w:shd w:val="clear" w:color="auto" w:fill="auto"/>
        <w:bidi w:val="0"/>
        <w:spacing w:before="0" w:after="320" w:line="240" w:lineRule="auto"/>
        <w:ind w:right="0" w:firstLine="0"/>
        <w:jc w:val="left"/>
      </w:pPr>
      <w:r>
        <w:rPr>
          <w:rStyle w:val="CharStyle22"/>
        </w:rPr>
        <w:t xml:space="preserve">Действителен с 21.01.2025 </w:t>
      </w:r>
      <w:r>
        <w:rPr>
          <w:rStyle w:val="CharStyle22"/>
          <w:color w:val="5D5D5D"/>
        </w:rPr>
        <w:t xml:space="preserve">по </w:t>
      </w:r>
      <w:r>
        <w:rPr>
          <w:rStyle w:val="CharStyle22"/>
        </w:rPr>
        <w:t>16.04.2026</w:t>
      </w:r>
    </w:p>
    <w:p>
      <w:pPr>
        <w:pStyle w:val="Style11"/>
        <w:keepNext w:val="0"/>
        <w:keepLines w:val="0"/>
        <w:widowControl w:val="0"/>
        <w:shd w:val="clear" w:color="auto" w:fill="auto"/>
        <w:bidi w:val="0"/>
        <w:spacing w:before="0" w:after="640" w:line="240" w:lineRule="auto"/>
        <w:ind w:left="1280" w:right="0" w:firstLine="0"/>
        <w:jc w:val="lef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63500</wp:posOffset>
            </wp:positionV>
            <wp:extent cx="359410" cy="5245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468630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0.90000000000003pt;margin-top:36.899999999999999pt;width:101.0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151765</wp:posOffset>
                </wp:positionV>
                <wp:extent cx="1725295" cy="259080"/>
                <wp:wrapNone/>
                <wp:docPr id="30" name="Shape 30"/>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55000000000001pt;margin-top:11.950000000000001pt;width:135.84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Леонова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Леонова Алена Альбертовна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009389F972AA570F22D19E7C51D28B0906</w:t>
      </w:r>
    </w:p>
    <w:p>
      <w:pPr>
        <w:pStyle w:val="Style21"/>
        <w:keepNext w:val="0"/>
        <w:keepLines w:val="0"/>
        <w:widowControl w:val="0"/>
        <w:shd w:val="clear" w:color="auto" w:fill="auto"/>
        <w:bidi w:val="0"/>
        <w:spacing w:before="0" w:after="4880" w:line="240" w:lineRule="auto"/>
        <w:ind w:right="0" w:firstLine="0"/>
        <w:jc w:val="left"/>
      </w:pPr>
      <w:r>
        <w:rPr>
          <w:rStyle w:val="CharStyle22"/>
        </w:rPr>
        <w:t>Действителен с 20.09.2024 по 14.12.2025</w:t>
      </w:r>
    </w:p>
    <w:p>
      <w:pPr>
        <w:pStyle w:val="Style26"/>
        <w:keepNext w:val="0"/>
        <w:keepLines w:val="0"/>
        <w:widowControl w:val="0"/>
        <w:shd w:val="clear" w:color="auto" w:fill="auto"/>
        <w:bidi w:val="0"/>
        <w:spacing w:before="0" w:line="240" w:lineRule="auto"/>
        <w:ind w:left="0" w:right="0" w:firstLine="0"/>
        <w:jc w:val="left"/>
      </w:pPr>
      <w:r>
        <w:rPr>
          <w:rStyle w:val="CharStyle27"/>
        </w:rPr>
        <w:t>Исп.Мартьянова Е.Д.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19455" cy="103505"/>
              <wp:wrapNone/>
              <wp:docPr id="4" name="Shape 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2025-39481</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2025-39481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31520" cy="125095"/>
              <wp:wrapNone/>
              <wp:docPr id="6" name="Shape 6"/>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2025-39481</w:t>
                          </w:r>
                        </w:p>
                      </w:txbxContent>
                    </wps:txbx>
                    <wps:bodyPr wrap="none" lIns="0" tIns="0" rIns="0" bIns="0">
                      <a:spAutoFit/>
                    </wps:bodyPr>
                  </wps:wsp>
                </a:graphicData>
              </a:graphic>
            </wp:anchor>
          </w:drawing>
        </mc:Choice>
        <mc:Fallback>
          <w:pict>
            <v:shape id="_x0000_s1032" type="#_x0000_t202" style="position:absolute;margin-left:57.pt;margin-top:804.5pt;width:57.6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2025-39481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726440</wp:posOffset>
              </wp:positionH>
              <wp:positionV relativeFrom="page">
                <wp:posOffset>10092690</wp:posOffset>
              </wp:positionV>
              <wp:extent cx="719455" cy="103505"/>
              <wp:wrapNone/>
              <wp:docPr id="14" name="Shape 14"/>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2025-39481</w:t>
                          </w:r>
                        </w:p>
                      </w:txbxContent>
                    </wps:txbx>
                    <wps:bodyPr wrap="none" lIns="0" tIns="0" rIns="0" bIns="0">
                      <a:spAutoFit/>
                    </wps:bodyPr>
                  </wps:wsp>
                </a:graphicData>
              </a:graphic>
            </wp:anchor>
          </w:drawing>
        </mc:Choice>
        <mc:Fallback>
          <w:pict>
            <v:shape id="_x0000_s1040" type="#_x0000_t202" style="position:absolute;margin-left:57.200000000000003pt;margin-top:794.70000000000005pt;width:56.649999999999999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2025-39481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358140</wp:posOffset>
              </wp:positionV>
              <wp:extent cx="39370" cy="91440"/>
              <wp:wrapNone/>
              <wp:docPr id="2" name="Shape 2"/>
              <a:graphic xmlns:a="http://schemas.openxmlformats.org/drawingml/2006/main">
                <a:graphicData uri="http://schemas.microsoft.com/office/word/2010/wordprocessingShape">
                  <wps:wsp>
                    <wps:cNvSpPr txBox="1"/>
                    <wps:spPr>
                      <a:xfrm>
                        <a:ext cx="39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28.199999999999999pt;width:3.1000000000000001pt;height:7.2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3924300</wp:posOffset>
              </wp:positionH>
              <wp:positionV relativeFrom="page">
                <wp:posOffset>476250</wp:posOffset>
              </wp:positionV>
              <wp:extent cx="76200" cy="118745"/>
              <wp:wrapNone/>
              <wp:docPr id="10" name="Shape 10"/>
              <a:graphic xmlns:a="http://schemas.openxmlformats.org/drawingml/2006/main">
                <a:graphicData uri="http://schemas.microsoft.com/office/word/2010/wordprocessingShape">
                  <wps:wsp>
                    <wps:cNvSpPr txBox="1"/>
                    <wps:spPr>
                      <a:xfrm>
                        <a:ext cx="7620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pt;margin-top:37.5pt;width:6.pt;height:9.3499999999999996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3924300</wp:posOffset>
              </wp:positionH>
              <wp:positionV relativeFrom="page">
                <wp:posOffset>358140</wp:posOffset>
              </wp:positionV>
              <wp:extent cx="39370" cy="91440"/>
              <wp:wrapNone/>
              <wp:docPr id="12" name="Shape 12"/>
              <a:graphic xmlns:a="http://schemas.openxmlformats.org/drawingml/2006/main">
                <a:graphicData uri="http://schemas.microsoft.com/office/word/2010/wordprocessingShape">
                  <wps:wsp>
                    <wps:cNvSpPr txBox="1"/>
                    <wps:spPr>
                      <a:xfrm>
                        <a:ext cx="39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pt;margin-top:28.199999999999999pt;width:3.1000000000000001pt;height:7.2000000000000002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Body text (4)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44444"/>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Body text (4)"/>
    <w:basedOn w:val="Normal"/>
    <w:link w:val="CharStyle16"/>
    <w:pPr>
      <w:widowControl w:val="0"/>
      <w:shd w:val="clear" w:color="auto" w:fill="auto"/>
      <w:spacing w:after="50"/>
      <w:ind w:left="2260"/>
    </w:pPr>
    <w:rPr>
      <w:rFonts w:ascii="Georgia" w:eastAsia="Georgia" w:hAnsi="Georgia" w:cs="Georgia"/>
      <w:b w:val="0"/>
      <w:bCs w:val="0"/>
      <w:i w:val="0"/>
      <w:iCs w:val="0"/>
      <w:smallCaps w:val="0"/>
      <w:strike w:val="0"/>
      <w:color w:val="292929"/>
      <w:sz w:val="11"/>
      <w:szCs w:val="11"/>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820"/>
    </w:pPr>
    <w:rPr>
      <w:rFonts w:ascii="Arial" w:eastAsia="Arial" w:hAnsi="Arial" w:cs="Arial"/>
      <w:b w:val="0"/>
      <w:bCs w:val="0"/>
      <w:i w:val="0"/>
      <w:iCs w:val="0"/>
      <w:smallCaps w:val="0"/>
      <w:strike w:val="0"/>
      <w:color w:val="444444"/>
      <w:sz w:val="12"/>
      <w:szCs w:val="12"/>
      <w:u w:val="none"/>
    </w:rPr>
  </w:style>
  <w:style w:type="paragraph" w:customStyle="1" w:styleId="Style26">
    <w:name w:val="Body text (5)"/>
    <w:basedOn w:val="Normal"/>
    <w:link w:val="CharStyle27"/>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