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42290" cy="57277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42290" cy="5727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41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536" w:bottom="1226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8"/>
          <w:b/>
          <w:bCs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center"/>
      </w:pPr>
      <w:r>
        <w:rPr>
          <w:rStyle w:val="CharStyle8"/>
          <w:b/>
          <w:bCs/>
        </w:rPr>
        <w:t>Федеральной антимонопольной службы</w:t>
        <w:br/>
        <w:t>по Тюменской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8"/>
        </w:rPr>
        <w:t>625048, г. Тюмень, ул. Холодильная, 58а</w:t>
        <w:br/>
        <w:t>тел. (3452) 50-31-55, факс (3452) 50-59-14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"mailto:to72@fas.gov.ra" </w:instrText>
      </w:r>
      <w:r>
        <w:fldChar w:fldCharType="separate"/>
      </w:r>
      <w:r>
        <w:rPr>
          <w:rStyle w:val="CharStyle8"/>
          <w:lang w:val="en-US" w:eastAsia="en-US"/>
        </w:rPr>
        <w:t>to72@fas.gov.ra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1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7.08.2025</w:t>
        <w:tab/>
      </w:r>
      <w:r>
        <w:fldChar w:fldCharType="end"/>
      </w:r>
      <w:r>
        <w:rPr>
          <w:rStyle w:val="CharStyle11"/>
        </w:rPr>
        <w:t>№ ЮВ/5397/25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8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3"/>
          <w:sz w:val="24"/>
          <w:szCs w:val="24"/>
        </w:rPr>
        <w:t>О направлении решения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АО «Сбербанк-АСТ»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>ул. Большой Саввинский переулок д. 12, строен. 9, г. Москва, 119435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Управление государственных 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Тюменской области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>ул. Республики д. 24, г. Тюмень, 625003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ГБУЗ ТО «Перинатальный центр»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(г. Тюмень)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>ул. Даудельная д. 1, г. Тюмень, 625002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ООО «Трейд МТ»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790" w:bottom="1313" w:left="1101" w:header="0" w:footer="3" w:gutter="0"/>
          <w:cols w:num="2" w:space="600"/>
          <w:noEndnote/>
          <w:rtlGutter w:val="0"/>
          <w:docGrid w:linePitch="360"/>
        </w:sectPr>
      </w:pPr>
      <w:r>
        <w:rPr>
          <w:rStyle w:val="CharStyle13"/>
        </w:rPr>
        <w:t>ул. Фабричная д. 1, лит. О, пом. О276, г. Петергоф, г. Санкт-Петербург, 198516</w:t>
      </w:r>
    </w:p>
    <w:p>
      <w:pPr>
        <w:widowControl w:val="0"/>
        <w:spacing w:line="68" w:lineRule="exact"/>
        <w:rPr>
          <w:sz w:val="5"/>
          <w:szCs w:val="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3" w:right="0" w:bottom="118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РЕШЕНИЕ № 072/06/44/123/2025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9061" w:val="left"/>
        </w:tabs>
        <w:bidi w:val="0"/>
        <w:spacing w:before="0" w:after="200" w:line="240" w:lineRule="auto"/>
        <w:ind w:left="0" w:right="0" w:firstLine="200"/>
        <w:jc w:val="both"/>
      </w:pPr>
      <w:r>
        <w:rPr>
          <w:rStyle w:val="CharStyle13"/>
        </w:rPr>
        <w:t>26 августа 2025 года</w:t>
        <w:tab/>
        <w:t>г. Тюмень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200" w:right="0" w:firstLine="520"/>
        <w:jc w:val="both"/>
      </w:pPr>
      <w:r>
        <w:rPr>
          <w:rStyle w:val="CharStyle13"/>
        </w:rPr>
        <w:t>Комиссия Управления Федеральной антимонопольной службы по Тюменской области по контролю в сфере закупок товаров, работ, услуг для обеспечения государственных и муниципальных нужд (далее – Комиссия, антимонопольный орган)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Председатель комиссии – заместитель руководителя управления Верзун Ю.Д.,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Главный специалист-эксперт отдела контроля закупок Назаров И.Г.,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Ведущий специалист-эксперт отдела контроля закупок Романенко В.В.,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520"/>
        <w:jc w:val="both"/>
      </w:pPr>
      <w:r>
        <w:rPr>
          <w:rStyle w:val="CharStyle13"/>
        </w:rPr>
        <w:t>с участием представителя заказчика: ГБУЗ ТО «Перинатальный центр» (г. Тюмень) (далее – заказчик), Крыловой С.А. по доверенности № 02-01/25 от 15.01.2025,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520"/>
        <w:jc w:val="both"/>
      </w:pPr>
      <w:r>
        <w:rPr>
          <w:rStyle w:val="CharStyle13"/>
        </w:rPr>
        <w:t>с участием представителя уполномоченного органа: Управления государственных закупок Тюменской области (далее – уполномоченный орган), Жуковой И.А. по доверенности № 13 от 23.08.2025,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520"/>
        <w:jc w:val="both"/>
      </w:pPr>
      <w:r>
        <w:rPr>
          <w:rStyle w:val="CharStyle13"/>
        </w:rPr>
        <w:t>в отсутствие заявителя: ООО «Трейд МТ» (далее - заявитель, Общество), извещенного надлежащим образом о дате и времени рассмотрения дела,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200" w:right="0" w:firstLine="520"/>
        <w:jc w:val="both"/>
      </w:pPr>
      <w:r>
        <w:rPr>
          <w:rStyle w:val="CharStyle13"/>
        </w:rPr>
        <w:t xml:space="preserve">рассмотрев в дистанционном режиме посредством плагина видеоконференции </w:t>
      </w:r>
      <w:r>
        <w:rPr>
          <w:rStyle w:val="CharStyle13"/>
          <w:lang w:val="en-US" w:eastAsia="en-US"/>
        </w:rPr>
        <w:t xml:space="preserve">TrueConf </w:t>
      </w:r>
      <w:r>
        <w:rPr>
          <w:rStyle w:val="CharStyle13"/>
        </w:rPr>
        <w:t>в порядке, предусмотренном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системе, Закон № 44-ФЗ), жалобу ООО «Трейд МТ» на действия комиссии по осуществлению закупок Управления государственных закупок Тюменской области при проведении электронного аукциона на поставку медицинских изделий: расходный материал медицинского назначения для новорожденных (для респираторной терапии)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3"/>
        </w:rPr>
        <w:t xml:space="preserve">(реестровый номер закупки </w:t>
      </w:r>
      <w:r>
        <w:rPr>
          <w:rStyle w:val="CharStyle13"/>
          <w:lang w:val="en-US" w:eastAsia="en-US"/>
        </w:rPr>
        <w:t>0167200003425005868),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В Управление Федеральной антимонопольной службы по Тюменской области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Тюменское УФАС России) поступила жалоба ООО «Трейд МТ» на действия комиссии по осуществлению закупок Управления государственных закупок Тюменской области при проведении электронного аукциона на поставку медицинских изделий: расходный материал медицинского назначения для новорожденных (для респираторной терапии).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Указанная жалоба заявителя признана соответствующей требованиям, предусмотренным статьёй </w:t>
      </w:r>
      <w:r>
        <w:rPr>
          <w:rStyle w:val="CharStyle13"/>
          <w:lang w:val="en-US" w:eastAsia="en-US"/>
        </w:rPr>
        <w:t xml:space="preserve">105 </w:t>
      </w:r>
      <w:r>
        <w:rPr>
          <w:rStyle w:val="CharStyle13"/>
        </w:rPr>
        <w:t xml:space="preserve">Закона о контрактной системе, и принята к рассмотрению. Во исполнение требований части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105 </w:t>
      </w:r>
      <w:r>
        <w:rPr>
          <w:rStyle w:val="CharStyle13"/>
        </w:rPr>
        <w:t xml:space="preserve">Закона о контрактной системе информация о содержании поступившей жалобы, времени и месте ее рассмотрения размещены в реестре жалоб 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3"/>
          <w:lang w:val="en-US" w:eastAsia="en-US"/>
        </w:rPr>
        <w:t>(www.zakupki.gov.ru</w:t>
      </w:r>
      <w:r>
        <w:fldChar w:fldCharType="end"/>
      </w:r>
      <w:r>
        <w:rPr>
          <w:rStyle w:val="CharStyle13"/>
          <w:lang w:val="en-US" w:eastAsia="en-US"/>
        </w:rPr>
        <w:t>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Заявитель в жалобе указывает, что заявки участников </w:t>
      </w:r>
      <w:r>
        <w:rPr>
          <w:rStyle w:val="CharStyle13"/>
          <w:lang w:val="en-US" w:eastAsia="en-US"/>
        </w:rPr>
        <w:t xml:space="preserve">№ 60, № 200 </w:t>
      </w:r>
      <w:r>
        <w:rPr>
          <w:rStyle w:val="CharStyle13"/>
        </w:rPr>
        <w:t xml:space="preserve">содержат предложение о поставке товара, не соответствующего техническому заданию, в части обеспечения совместимости поставляемого товара с аппаратом ИВЛ </w:t>
      </w:r>
      <w:r>
        <w:rPr>
          <w:rStyle w:val="CharStyle13"/>
          <w:lang w:val="en-US" w:eastAsia="en-US"/>
        </w:rPr>
        <w:t xml:space="preserve">Stephan REANIMATOR F 120. </w:t>
      </w:r>
      <w:r>
        <w:rPr>
          <w:rStyle w:val="CharStyle13"/>
        </w:rPr>
        <w:t>Кроме того, имеется официальное письмо производителя подтверждающее, что при работе и обслуживании аппарата ИВЛ необходимо использовать только оригинальные запасные части производства «Ф.Штефан ГмбХ Медицинтехник».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Уполномоченным органом, возражения на жалобу заявителя представлены, просит признать жалобу заявителя необоснованной. Представителем заказчика представлены устные возражения на жалобу заявителя в заседании Комиссии.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Оператором электронной площадки АО «Сбербанк-АСТ» на ранее направленный запрос Тюменского УФАС России представлены в электронном виде все заявки участников, поступившие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Комиссия Тюменского УФАС России по контролю в сфере закупок осуществляет контроль за стадией определения поставщика (подрядчика, исполнителя) (то есть, с момента размещения извещения об осуществлении закупки в ЕИС в сфере закупок до заключения контракта включительно) и исключительно за соблюдением требований Закона о контрактной системе, и не правомочна осуществлять контроль в рамках главы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26.07.2006 № </w:t>
      </w:r>
      <w:r>
        <w:rPr>
          <w:rStyle w:val="CharStyle13"/>
        </w:rPr>
        <w:t xml:space="preserve">135-ФЗ «О защите конкуренции» поскольку порядок рассмотрения подобного рода обращений и осуществление соответствующей проверки осуществляется в рамках иных правовых процедур которые регламентируются главой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26.07.2006 № </w:t>
      </w:r>
      <w:r>
        <w:rPr>
          <w:rStyle w:val="CharStyle13"/>
        </w:rPr>
        <w:t>135-ФЗ «О защите конкуренции», а не Законом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40"/>
        <w:jc w:val="both"/>
      </w:pPr>
      <w:r>
        <w:rPr>
          <w:rStyle w:val="CharStyle13"/>
        </w:rPr>
        <w:t xml:space="preserve">Следовательно, правовые основания для выделения материалов дела в отдельное производство в рамках Федерального закона от </w:t>
      </w:r>
      <w:r>
        <w:rPr>
          <w:rStyle w:val="CharStyle13"/>
          <w:lang w:val="en-US" w:eastAsia="en-US"/>
        </w:rPr>
        <w:t xml:space="preserve">26.07.2006 № </w:t>
      </w:r>
      <w:r>
        <w:rPr>
          <w:rStyle w:val="CharStyle13"/>
        </w:rPr>
        <w:t xml:space="preserve">135-ФЗ у Комиссии Тюменского УФАС России по контролю в сфере закупок отсутствуют, поскольку жалоба заявителя поступила с использованием функционала ЕИС в сфере закупок в рамках Федерального закона от </w:t>
      </w:r>
      <w:r>
        <w:rPr>
          <w:rStyle w:val="CharStyle13"/>
          <w:lang w:val="en-US" w:eastAsia="en-US"/>
        </w:rPr>
        <w:t xml:space="preserve">05.04.2013 № </w:t>
      </w:r>
      <w:r>
        <w:rPr>
          <w:rStyle w:val="CharStyle13"/>
        </w:rPr>
        <w:t xml:space="preserve">44-ФЗ, что не предусмотрено требованиями Федерального закона от </w:t>
      </w:r>
      <w:r>
        <w:rPr>
          <w:rStyle w:val="CharStyle13"/>
          <w:lang w:val="en-US" w:eastAsia="en-US"/>
        </w:rPr>
        <w:t xml:space="preserve">26.07.2006 № </w:t>
      </w:r>
      <w:r>
        <w:rPr>
          <w:rStyle w:val="CharStyle13"/>
        </w:rPr>
        <w:t xml:space="preserve">135-ФЗ, кроме того, жалоба заявителя по своей структуре и содержанию не соответствует требованиям статьи </w:t>
      </w:r>
      <w:r>
        <w:rPr>
          <w:rStyle w:val="CharStyle13"/>
          <w:lang w:val="en-US" w:eastAsia="en-US"/>
        </w:rPr>
        <w:t>44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both"/>
      </w:pP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26.07.2006 № </w:t>
      </w:r>
      <w:r>
        <w:rPr>
          <w:rStyle w:val="CharStyle13"/>
        </w:rPr>
        <w:t>135-ФЗ.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520"/>
        <w:jc w:val="both"/>
      </w:pPr>
      <w:r>
        <w:rPr>
          <w:rStyle w:val="CharStyle13"/>
        </w:rPr>
        <w:t xml:space="preserve">В ходе контрольного мероприятия Комиссией Тюменского УФАС России были изучены документы и информация, полученные путем формирования запроса в Государственной информационной системе «Независимый регистратор»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ГИС «НР»):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извещение о проведении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протоколы, составленные в ходе проведения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заявки участников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80" w:val="left"/>
        </w:tabs>
        <w:bidi w:val="0"/>
        <w:spacing w:before="0" w:after="0" w:line="240" w:lineRule="auto"/>
        <w:ind w:left="200" w:right="0" w:firstLine="520"/>
        <w:jc w:val="both"/>
      </w:pPr>
      <w:r>
        <w:rPr>
          <w:rStyle w:val="CharStyle13"/>
        </w:rPr>
        <w:t>иные документы и информация, полученные в Государственной информационной системе «Независимый регистратор».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520"/>
        <w:jc w:val="both"/>
      </w:pPr>
      <w:r>
        <w:rPr>
          <w:rStyle w:val="CharStyle13"/>
        </w:rPr>
        <w:t>Исследовав материалы дела, заслушав представителей сторон и оценив в совокупности представленные документы, Комиссия Тюменского УФАС России приходит к следующим выводам.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520"/>
        <w:jc w:val="both"/>
      </w:pPr>
      <w:r>
        <w:rPr>
          <w:rStyle w:val="CharStyle13"/>
        </w:rPr>
        <w:t xml:space="preserve">Из материалов дела усматривается, что Управление государственных закупок Тюменской области являясь уполномоченным органом, выступило организатором проведения электронного аукциона на поставку медицинских изделий: расходный материал медицинского назначения для новорожденных (для респираторной терапии), с начальной (максимальной) ценой контракта </w:t>
      </w:r>
      <w:r>
        <w:rPr>
          <w:rStyle w:val="CharStyle13"/>
          <w:lang w:val="en-US" w:eastAsia="en-US"/>
        </w:rPr>
        <w:t xml:space="preserve">882 000,00 </w:t>
      </w:r>
      <w:r>
        <w:rPr>
          <w:rStyle w:val="CharStyle13"/>
        </w:rPr>
        <w:t>рублей, в интересах заказчика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520"/>
        <w:jc w:val="both"/>
      </w:pPr>
      <w:r>
        <w:rPr>
          <w:rStyle w:val="CharStyle13"/>
        </w:rPr>
        <w:t xml:space="preserve">Информация об электронном аукционе была размещена </w:t>
      </w:r>
      <w:r>
        <w:rPr>
          <w:rStyle w:val="CharStyle13"/>
          <w:lang w:val="en-US" w:eastAsia="en-US"/>
        </w:rPr>
        <w:t xml:space="preserve">07.08.2025 </w:t>
      </w:r>
      <w:r>
        <w:rPr>
          <w:rStyle w:val="CharStyle13"/>
        </w:rPr>
        <w:t>на официальном сайте ЕИС в сфере закупок:</w:t>
      </w:r>
      <w:r>
        <w:fldChar w:fldCharType="begin"/>
      </w:r>
      <w:r>
        <w:rPr/>
        <w:instrText> HYPERLINK "http://zakupki.gov.ru/" </w:instrText>
      </w:r>
      <w:r>
        <w:fldChar w:fldCharType="separate"/>
      </w:r>
      <w:r>
        <w:rPr>
          <w:rStyle w:val="CharStyle13"/>
        </w:rPr>
        <w:t xml:space="preserve"> </w:t>
      </w:r>
      <w:r>
        <w:rPr>
          <w:rStyle w:val="CharStyle13"/>
          <w:lang w:val="en-US" w:eastAsia="en-US"/>
        </w:rPr>
        <w:t>http://zakupki.gov.ru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rPr>
          <w:rStyle w:val="CharStyle13"/>
        </w:rPr>
        <w:t xml:space="preserve">с реестровым номером закупки </w:t>
      </w:r>
      <w:r>
        <w:rPr>
          <w:rStyle w:val="CharStyle13"/>
          <w:lang w:val="en-US" w:eastAsia="en-US"/>
        </w:rPr>
        <w:t>0167200003425005868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520"/>
        <w:jc w:val="both"/>
      </w:pPr>
      <w:r>
        <w:rPr>
          <w:rStyle w:val="CharStyle13"/>
        </w:rPr>
        <w:t xml:space="preserve">Адрес электронной площадки в информационно-телекоммуникационной сети «Интернет» определенной для проведения закупки </w:t>
      </w:r>
      <w:r>
        <w:fldChar w:fldCharType="begin"/>
      </w:r>
      <w:r>
        <w:rPr/>
        <w:instrText> HYPERLINK "http://www.sberbank-ast.ru" </w:instrText>
      </w:r>
      <w:r>
        <w:fldChar w:fldCharType="separate"/>
      </w:r>
      <w:r>
        <w:rPr>
          <w:rStyle w:val="CharStyle13"/>
          <w:lang w:val="en-US" w:eastAsia="en-US"/>
        </w:rPr>
        <w:t>http://www.sberbank-ast.ru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52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Закона о контрактной системе предусмотрено, что закупка товара, работы, услуги для обеспечения государственных или муниципальных нужд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закупка)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совокупность действий,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нужд. Закупка начинается с определения поставщика (подрядчика, исполнителя) и завершается исполнением обязательств сторонами контракта. В случае,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сторонами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52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>Закона о контрактной системе предусмотрено, что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52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24 </w:t>
      </w:r>
      <w:r>
        <w:rPr>
          <w:rStyle w:val="CharStyle13"/>
        </w:rPr>
        <w:t xml:space="preserve">Закона о контрактной системе предусмотрено, что заказчики при осуществлении закупок применяют конкурентные способы определения поставщиков (подрядчиков, исполнителей)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конкурентные способы) или осуществляют закупки у единственного поставщика (подрядчика, исполнителя).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контрактной системе предусмотрено, что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в том числе,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23 </w:t>
      </w:r>
      <w:r>
        <w:rPr>
          <w:rStyle w:val="CharStyle13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>Закона о контрактной системе предусмотрено, что единая информационная система содержит каталог, товаров, работ, услуг для обеспечения государственных и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23 </w:t>
      </w:r>
      <w:r>
        <w:rPr>
          <w:rStyle w:val="CharStyle13"/>
        </w:rPr>
        <w:t>Закона о контрактной системе предусмотрено,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РФ.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Правил использования каталога товаров, работ, услуг для обеспечения государственных и муниципальных нужд (утв. Постановлением Правительства РФ от </w:t>
      </w:r>
      <w:r>
        <w:rPr>
          <w:rStyle w:val="CharStyle13"/>
          <w:lang w:val="en-US" w:eastAsia="en-US"/>
        </w:rPr>
        <w:t xml:space="preserve">08.02.2017 № 145) </w:t>
      </w:r>
      <w:r>
        <w:rPr>
          <w:rStyle w:val="CharStyle13"/>
        </w:rPr>
        <w:t xml:space="preserve">предусмотрено, что заказчики обязаны применять информацию, включенную в позицию каталога в соответствии с подпунктами «б»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«г» и «е»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«з» пункта </w:t>
      </w:r>
      <w:r>
        <w:rPr>
          <w:rStyle w:val="CharStyle13"/>
          <w:lang w:val="en-US" w:eastAsia="en-US"/>
        </w:rPr>
        <w:t xml:space="preserve">10 </w:t>
      </w:r>
      <w:r>
        <w:rPr>
          <w:rStyle w:val="CharStyle13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РФ от </w:t>
      </w:r>
      <w:r>
        <w:rPr>
          <w:rStyle w:val="CharStyle13"/>
          <w:lang w:val="en-US" w:eastAsia="en-US"/>
        </w:rPr>
        <w:t xml:space="preserve">08.02.2017 № 145 </w:t>
      </w:r>
      <w:r>
        <w:rPr>
          <w:rStyle w:val="CharStyle13"/>
        </w:rPr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6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наименование товара, работы, услуги;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1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описание товара, работы, услуги (при наличии такого описания в позиции).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Правил использования каталога товаров, работ, услуг для обеспечения государственных и муниципальных нужд (утв. Постановлением Правительства РФ от </w:t>
      </w:r>
      <w:r>
        <w:rPr>
          <w:rStyle w:val="CharStyle13"/>
          <w:lang w:val="en-US" w:eastAsia="en-US"/>
        </w:rPr>
        <w:t xml:space="preserve">08.02.2017 № 145) </w:t>
      </w:r>
      <w:r>
        <w:rPr>
          <w:rStyle w:val="CharStyle13"/>
        </w:rPr>
        <w:t xml:space="preserve">предусмотрено,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Федерального закона, которые не предусмотрены в позиции каталога, за исключением случаев: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3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если при осуществлении закупки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13"/>
          <w:lang w:val="en-US" w:eastAsia="en-US"/>
        </w:rPr>
        <w:t xml:space="preserve">25, 26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32 </w:t>
      </w:r>
      <w:r>
        <w:rPr>
          <w:rStyle w:val="CharStyle13"/>
        </w:rPr>
        <w:t xml:space="preserve">приложения </w:t>
      </w:r>
      <w:r>
        <w:rPr>
          <w:rStyle w:val="CharStyle13"/>
          <w:lang w:val="en-US" w:eastAsia="en-US"/>
        </w:rPr>
        <w:t xml:space="preserve">№ 1 </w:t>
      </w:r>
      <w:r>
        <w:rPr>
          <w:rStyle w:val="CharStyle13"/>
        </w:rPr>
        <w:t xml:space="preserve">к постановлению Правительства Российской Федерации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позициях </w:t>
      </w:r>
      <w:r>
        <w:rPr>
          <w:rStyle w:val="CharStyle13"/>
          <w:lang w:val="en-US" w:eastAsia="en-US"/>
        </w:rPr>
        <w:t xml:space="preserve">191 - 361 </w:t>
      </w:r>
      <w:r>
        <w:rPr>
          <w:rStyle w:val="CharStyle13"/>
        </w:rPr>
        <w:t xml:space="preserve">приложения </w:t>
      </w:r>
      <w:r>
        <w:rPr>
          <w:rStyle w:val="CharStyle13"/>
          <w:lang w:val="en-US" w:eastAsia="en-US"/>
        </w:rPr>
        <w:t xml:space="preserve">№ 2 </w:t>
      </w:r>
      <w:r>
        <w:rPr>
          <w:rStyle w:val="CharStyle13"/>
        </w:rPr>
        <w:t xml:space="preserve">к указанному постановлению, применяются предусмотренные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указанного постановления запрет, ограничение соответственно;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4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7 </w:t>
      </w:r>
      <w:r>
        <w:rPr>
          <w:rStyle w:val="CharStyle13"/>
        </w:rPr>
        <w:t xml:space="preserve">Правил использования каталога товаров, работ, услуг для обеспечения государственных и муниципальных нужд (утв. Постановлением Правительства РФ от </w:t>
      </w:r>
      <w:r>
        <w:rPr>
          <w:rStyle w:val="CharStyle13"/>
          <w:lang w:val="en-US" w:eastAsia="en-US"/>
        </w:rPr>
        <w:t xml:space="preserve">08.02.2017 № 145) </w:t>
      </w:r>
      <w:r>
        <w:rPr>
          <w:rStyle w:val="CharStyle13"/>
        </w:rPr>
        <w:t xml:space="preserve">предусмотрено,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42, </w:t>
      </w: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75 </w:t>
      </w:r>
      <w:r>
        <w:rPr>
          <w:rStyle w:val="CharStyle13"/>
        </w:rPr>
        <w:t xml:space="preserve">Федерального закона соответственно. 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</w:t>
      </w:r>
      <w:r>
        <w:rPr>
          <w:rStyle w:val="CharStyle13"/>
          <w:lang w:val="en-US" w:eastAsia="en-US"/>
        </w:rPr>
        <w:t>034-2014.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Правил использования каталога товаров, работ, услуг для обеспечения государственных и муниципальных нужд (утв. Постановлением Правительства РФ от </w:t>
      </w:r>
      <w:r>
        <w:rPr>
          <w:rStyle w:val="CharStyle13"/>
          <w:lang w:val="en-US" w:eastAsia="en-US"/>
        </w:rPr>
        <w:t xml:space="preserve">08.02.2017 № 145) </w:t>
      </w:r>
      <w:r>
        <w:rPr>
          <w:rStyle w:val="CharStyle13"/>
        </w:rPr>
        <w:t xml:space="preserve">предусмотрено, что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(ОКПД2) ОК </w:t>
      </w:r>
      <w:r>
        <w:rPr>
          <w:rStyle w:val="CharStyle13"/>
          <w:lang w:val="en-US" w:eastAsia="en-US"/>
        </w:rPr>
        <w:t>034-2014.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статье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 предусмотрено,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 предусмотрено, что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 предусмотрено, что описание объекта закупки в соответствии с требованиями, указанными в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Согласно описанию объекта закупки, к поставке требуется «Монитор для определения физиологических показателей матери и плода» ОКПД2/КТРУ </w:t>
      </w:r>
      <w:r>
        <w:rPr>
          <w:rStyle w:val="CharStyle13"/>
          <w:lang w:val="en-US" w:eastAsia="en-US"/>
        </w:rPr>
        <w:t xml:space="preserve">32.50.21.122, 32.50.21.122-00000005 </w:t>
      </w:r>
      <w:r>
        <w:rPr>
          <w:rStyle w:val="CharStyle13"/>
        </w:rPr>
        <w:t>«Контур дыхательный аппарата искусственной вентиляции легких, многоразового использования».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Поскольку в примененной к описанию объекта закупки позиции КТРУ отсутствовали обязательные характеристики необходимые для описания товара, в этой связи, заказчиком описание объекта закупки осуществлялось по общим правилам 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В отношении закупаемого товара, в том числе содержится указание на совместимость контура дыхательного с аппаратом </w:t>
      </w:r>
      <w:r>
        <w:rPr>
          <w:rStyle w:val="CharStyle13"/>
          <w:lang w:val="en-US" w:eastAsia="en-US"/>
        </w:rPr>
        <w:t xml:space="preserve">Stephan REANIMATOR F 120 </w:t>
      </w:r>
      <w:r>
        <w:rPr>
          <w:rStyle w:val="CharStyle13"/>
        </w:rPr>
        <w:t>имеющегося у заказчика в наличии. Данная закупка осуществлялась заказчиком без указания на конкретный товарный знак поставляемого товара.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Кроме того, в целях исполнения условий абзаца четвертого подпункта «а» пункта </w:t>
      </w:r>
      <w:r>
        <w:rPr>
          <w:rStyle w:val="CharStyle13"/>
          <w:lang w:val="en-US" w:eastAsia="en-US"/>
        </w:rPr>
        <w:t xml:space="preserve">7 </w:t>
      </w:r>
      <w:r>
        <w:rPr>
          <w:rStyle w:val="CharStyle13"/>
        </w:rPr>
        <w:t xml:space="preserve">Постановления Правительства РФ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в закупке продекларирован факт отсутствия на территории Российской Федерации производства товара с характеристиками, соответствующими потребности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3"/>
          <w:lang w:val="en-US" w:eastAsia="en-US"/>
        </w:rPr>
        <w:t xml:space="preserve">18.08.2025 </w:t>
      </w:r>
      <w:r>
        <w:rPr>
          <w:rStyle w:val="CharStyle13"/>
        </w:rPr>
        <w:t xml:space="preserve">по окончании срока подачи заявок на участие в закупке было подано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>заявки. Все заявки признаны соответствующими требованиям извещения об осуществлении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Все участники закупки предложили к поставке товар иностранного производства. Заявка </w:t>
      </w:r>
      <w:r>
        <w:rPr>
          <w:rStyle w:val="CharStyle13"/>
          <w:lang w:val="en-US" w:eastAsia="en-US"/>
        </w:rPr>
        <w:t xml:space="preserve">№ 60 - </w:t>
      </w:r>
      <w:r>
        <w:rPr>
          <w:rStyle w:val="CharStyle13"/>
        </w:rPr>
        <w:t xml:space="preserve">Новая Зеландия, заявка </w:t>
      </w:r>
      <w:r>
        <w:rPr>
          <w:rStyle w:val="CharStyle13"/>
          <w:lang w:val="en-US" w:eastAsia="en-US"/>
        </w:rPr>
        <w:t xml:space="preserve">№ 200 - </w:t>
      </w:r>
      <w:r>
        <w:rPr>
          <w:rStyle w:val="CharStyle13"/>
        </w:rPr>
        <w:t xml:space="preserve">Новая Зеландия, заявка </w:t>
      </w:r>
      <w:r>
        <w:rPr>
          <w:rStyle w:val="CharStyle13"/>
          <w:lang w:val="en-US" w:eastAsia="en-US"/>
        </w:rPr>
        <w:t xml:space="preserve">№ 180 - </w:t>
      </w:r>
      <w:r>
        <w:rPr>
          <w:rStyle w:val="CharStyle13"/>
        </w:rPr>
        <w:t xml:space="preserve">Германия, заявка </w:t>
      </w:r>
      <w:r>
        <w:rPr>
          <w:rStyle w:val="CharStyle13"/>
          <w:lang w:val="en-US" w:eastAsia="en-US"/>
        </w:rPr>
        <w:t xml:space="preserve">№ 28 - </w:t>
      </w:r>
      <w:r>
        <w:rPr>
          <w:rStyle w:val="CharStyle13"/>
        </w:rPr>
        <w:t>Германия.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Победителем закупки по результатам ранжирования определен участник с заявкой </w:t>
      </w:r>
      <w:r>
        <w:rPr>
          <w:rStyle w:val="CharStyle13"/>
          <w:lang w:val="en-US" w:eastAsia="en-US"/>
        </w:rPr>
        <w:t>№ 60.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2.4 </w:t>
      </w:r>
      <w:r>
        <w:rPr>
          <w:rStyle w:val="CharStyle13"/>
        </w:rPr>
        <w:t xml:space="preserve">требований к содержанию и составу заявки на участие в закупке (приложение к извещению об осуществлении закупки) предусмотрено, что в соответствии со статьей </w:t>
      </w:r>
      <w:r>
        <w:rPr>
          <w:rStyle w:val="CharStyle13"/>
          <w:lang w:val="en-US" w:eastAsia="en-US"/>
        </w:rPr>
        <w:t xml:space="preserve">38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21.11.2011 № </w:t>
      </w:r>
      <w:r>
        <w:rPr>
          <w:rStyle w:val="CharStyle13"/>
        </w:rPr>
        <w:t xml:space="preserve">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 В соответствии с пунктом </w:t>
      </w:r>
      <w:r>
        <w:rPr>
          <w:rStyle w:val="CharStyle13"/>
          <w:lang w:val="en-US" w:eastAsia="en-US"/>
        </w:rPr>
        <w:t xml:space="preserve">25 </w:t>
      </w:r>
      <w:r>
        <w:rPr>
          <w:rStyle w:val="CharStyle13"/>
        </w:rPr>
        <w:t>Правил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государственной регистрации медицинских изделий, утвержденных Постановлением Правительства РФ от </w:t>
      </w:r>
      <w:r>
        <w:rPr>
          <w:rStyle w:val="CharStyle13"/>
          <w:lang w:val="en-US" w:eastAsia="en-US"/>
        </w:rPr>
        <w:t xml:space="preserve">30.11.2024 № 1684, </w:t>
      </w:r>
      <w:r>
        <w:rPr>
          <w:rStyle w:val="CharStyle13"/>
        </w:rPr>
        <w:t>факт государственной регистрации медицинского изделия подтверждается реестровой записью, вносимой регистрирующим органом в государственный реестр. Заявка на участие должна содержать: копию регистрационного удостоверения на медицинское изделие, являющееся предметом закупки, или копию регистрационного удостоверения на медицинские изделия, в состав которых входит медицинское изделие, являющееся предметом закупки (допускается предоставление информации о регистрационном удостоверении с обязательным указанием наименования и регистрационного номера, позволяющего идентифицировать регистрационное удостоверение в государственном реестре медицинских изделий); или информацию о записи в государственном реестре медицинских изделий, подтверждающей факт государственной регистрации медицинского изделия; и (или) документ, подтверждающий факт государственной регистрации медицинского изделия (выписка из государственного реестра медицинских изделий).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Подпунктом «а»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49 </w:t>
      </w:r>
      <w:r>
        <w:rPr>
          <w:rStyle w:val="CharStyle13"/>
        </w:rPr>
        <w:t xml:space="preserve">Закона о контрактной системе предусмотрено, что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3"/>
          <w:lang w:val="en-US" w:eastAsia="en-US"/>
        </w:rPr>
        <w:t xml:space="preserve">1 - 8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В соответствии с пунктом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Правил государственной регистрации медицинских изделий (утв. Постановление Правительства РФ от </w:t>
      </w:r>
      <w:r>
        <w:rPr>
          <w:rStyle w:val="CharStyle13"/>
          <w:lang w:val="en-US" w:eastAsia="en-US"/>
        </w:rPr>
        <w:t xml:space="preserve">27.12.2012 № 1416) </w:t>
      </w:r>
      <w:r>
        <w:rPr>
          <w:rStyle w:val="CharStyle13"/>
        </w:rPr>
        <w:t>документом, подтверждающим факт государственной регистрации медицинского изделия, является регистрационное удостоверение на медицинское изделие.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В соответствии с частями </w:t>
      </w:r>
      <w:r>
        <w:rPr>
          <w:rStyle w:val="CharStyle13"/>
          <w:lang w:val="en-US" w:eastAsia="en-US"/>
        </w:rPr>
        <w:t xml:space="preserve">3, 4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38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21.11.2011 № </w:t>
      </w:r>
      <w:r>
        <w:rPr>
          <w:rStyle w:val="CharStyle13"/>
        </w:rPr>
        <w:t>323-ФЗ «Об основах охраны здоровья граждан в Российской Федерации» на территории Российской Федерации разрешается обращение медицинских изделий, прошедших государственную регистрацию, и исключительно в соответствии со сведениями регистрационного удостоверения и материалами регистрационного досье.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Порядок государственной регистрации медицинских изделий регламентируется Постановлением Правительства РФ от </w:t>
      </w:r>
      <w:r>
        <w:rPr>
          <w:rStyle w:val="CharStyle13"/>
          <w:lang w:val="en-US" w:eastAsia="en-US"/>
        </w:rPr>
        <w:t xml:space="preserve">30.11.2024 № 1684 </w:t>
      </w:r>
      <w:r>
        <w:rPr>
          <w:rStyle w:val="CharStyle13"/>
        </w:rPr>
        <w:t xml:space="preserve">«Об утверждении Правил государственной регистрации медицинских изделий», с учетом требований Постановления Правительства РФ от </w:t>
      </w:r>
      <w:r>
        <w:rPr>
          <w:rStyle w:val="CharStyle13"/>
          <w:lang w:val="en-US" w:eastAsia="en-US"/>
        </w:rPr>
        <w:t xml:space="preserve">01.04.2022 № 552 </w:t>
      </w:r>
      <w:r>
        <w:rPr>
          <w:rStyle w:val="CharStyle13"/>
        </w:rPr>
        <w:t>«Об утверждении особенностей обращения, включая особенности государственной регистрации,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Постановления Правительства РФ от </w:t>
      </w:r>
      <w:r>
        <w:rPr>
          <w:rStyle w:val="CharStyle13"/>
          <w:lang w:val="en-US" w:eastAsia="en-US"/>
        </w:rPr>
        <w:t xml:space="preserve">30.11.2024 № 1684 </w:t>
      </w:r>
      <w:r>
        <w:rPr>
          <w:rStyle w:val="CharStyle13"/>
        </w:rPr>
        <w:t>предусмотрены определения, что понимается под технической документацией производителя (изготовителя) медицинского изделия, а также что понимается под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эксплуатационной документацией производителя (изготовителя) медицинского изделия.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Техническая документация производителя (изготовителя) медицинского изделия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это документ (документы), регламентирующий конструкцию медицинского изделия, устанавливающий технические требования и содержащий данные для его разработки, производства, применения, эксплуатации, технического обслуживания, ремонта, утилизации или уничтожения.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Эксплуатационная документация производителя (изготовителя) медицинского изделия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это документ (документы), предназначенный для ознакомления потребителя с конструкцией медицинского изделия, регламентирующий условия и правила эксплуатации (использование по назначению, техническое обслуживание, текущий ремонт, хранение и транспортировка), гарантированные производителем (изготовителем) значения основных параметров, характеристик (свойств) медицинского изделия, гарантийные обязательства, а также сведения о его утилизации или уничтожении.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Требования к содержанию технической и эксплуатационной документации производителя (изготовителя) медицинского изделия утверждены приказом Министерства здравоохранения РФ от </w:t>
      </w:r>
      <w:r>
        <w:rPr>
          <w:rStyle w:val="CharStyle13"/>
          <w:lang w:val="en-US" w:eastAsia="en-US"/>
        </w:rPr>
        <w:t xml:space="preserve">19.01.2017 № </w:t>
      </w:r>
      <w:r>
        <w:rPr>
          <w:rStyle w:val="CharStyle13"/>
        </w:rPr>
        <w:t>11н «Об утверждении требований к содержанию технической и эксплуатационной документации производителя (изготовителя) медицинского изделия».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Подпунктом </w:t>
      </w:r>
      <w:r>
        <w:rPr>
          <w:rStyle w:val="CharStyle13"/>
          <w:lang w:val="en-US" w:eastAsia="en-US"/>
        </w:rPr>
        <w:t xml:space="preserve">11 </w:t>
      </w:r>
      <w:r>
        <w:rPr>
          <w:rStyle w:val="CharStyle13"/>
        </w:rPr>
        <w:t xml:space="preserve">пункта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Требований к содержанию технической и эксплуатационной документации производителя (изготовителя) медицинского изделия (утв. приказом Министерства здравоохранения РФ от </w:t>
      </w:r>
      <w:r>
        <w:rPr>
          <w:rStyle w:val="CharStyle13"/>
          <w:lang w:val="en-US" w:eastAsia="en-US"/>
        </w:rPr>
        <w:t xml:space="preserve">19.01.2017 № </w:t>
      </w:r>
      <w:r>
        <w:rPr>
          <w:rStyle w:val="CharStyle13"/>
        </w:rPr>
        <w:t>11н) предусмотрено, что эксплуатационная документация производителя (изготовителя) на медицинское изделие, представляемая производителем (изготовителем) или уполномоченным представителем производителя (изготовителя), в составе регистрационного досье на медицинское изделие, должна содержать в том числе перечень расходных материалов (компонентов, реагентов), а также процедуру их применения и замены.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 xml:space="preserve">Таким образом, исходя из легальных определений технической и эксплуатационной документации производителя (изготовителя) медицинского изделия следует, что указанные виды документаций не являются техническими регламентами, принятыми в соответствии с законодательством Российской Федерации о техническом регулировании, либо документами, разрабатываемыми и применяемыми в национальной системе стандартизации, а следовательно, требования относительно составления медицинским учреждением (заказчиком) описания объекта закупки в соответствии с требованиями пункта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 на рассматриваемую процедуру закупки не распространяются.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Исходя из приведенных выше нормоположений следует, что регистрацию проходит именно медицинское изделие, а не отдельные его технические характеристики, при этом при регистрации данное медицинское изделие проходит все необходимые проверки и испытания, в результате чего на него выдается регистрационное удостоверение, которое является единственным и основным документом, допускающим легальный оборот медицинского изделия на территории РФ.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3"/>
        </w:rPr>
        <w:t>Перечень документов, представляемых в рамках процедуры государственной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регистрации документов, содержится в пунктах </w:t>
      </w:r>
      <w:r>
        <w:rPr>
          <w:rStyle w:val="CharStyle13"/>
          <w:lang w:val="en-US" w:eastAsia="en-US"/>
        </w:rPr>
        <w:t xml:space="preserve">65, 84 </w:t>
      </w:r>
      <w:r>
        <w:rPr>
          <w:rStyle w:val="CharStyle13"/>
        </w:rPr>
        <w:t xml:space="preserve">Постановления Правительства РФ от </w:t>
      </w:r>
      <w:r>
        <w:rPr>
          <w:rStyle w:val="CharStyle13"/>
          <w:lang w:val="en-US" w:eastAsia="en-US"/>
        </w:rPr>
        <w:t xml:space="preserve">30.11.2024 № 1684 </w:t>
      </w:r>
      <w:r>
        <w:rPr>
          <w:rStyle w:val="CharStyle13"/>
        </w:rPr>
        <w:t>в перечне указанных документов содержится указание на то, что в составе документов производителем медицинского изделия представляются на регистрацию техническая документация производителя (изготовителя) на медицинское изделие, а также эксплуатационная документация производителя (изготовителя) на медицинское изделие, в том числе инструкция по применению или руководство по эксплуатации медицинского изделия.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Подпунктом «н» пункта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Постановления Правительства РФ от </w:t>
      </w:r>
      <w:r>
        <w:rPr>
          <w:rStyle w:val="CharStyle13"/>
          <w:lang w:val="en-US" w:eastAsia="en-US"/>
        </w:rPr>
        <w:t xml:space="preserve">30.09.2021 № 1650 </w:t>
      </w:r>
      <w:r>
        <w:rPr>
          <w:rStyle w:val="CharStyle13"/>
        </w:rPr>
        <w:t xml:space="preserve">«Об утверждении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о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</w:t>
      </w:r>
      <w:r>
        <w:rPr>
          <w:rStyle w:val="CharStyle13"/>
          <w:lang w:val="en-US" w:eastAsia="en-US"/>
        </w:rPr>
        <w:t xml:space="preserve">1, 2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>Федерального закона «Об обязательных требованиях в Российской Федерации» а также о признании утратившими силу некоторых актов Правительства Российской Федерации» предусмотрено, что реестр содержит в том числе, электронный образ эксплуатационной документации производителя (изготовителя) на медицинское изделие.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Таким образом, в реестре медицинских изделий содержится электронный образ эксплуатационной документации производителя (изготовителя) на медицинское изделие, которая в числе прочего может содержать значения основных параметров, характеристик (свойств) медицинского изделия.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При этом, из приведенных выше нормативно-правовых актов не следует обязанность производителей медицинских изделий публиковать абсолютно все характеристики, которые могут быть у медицинского изделия, производитель медицинского изделия делает это на своё усмотрение.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Комиссия по осуществлению закупок при рассмотрении заявок участников обязана использовать информацию и документы, размещенные на официальном сайте </w:t>
      </w:r>
      <w:r>
        <w:fldChar w:fldCharType="begin"/>
      </w:r>
      <w:r>
        <w:rPr/>
        <w:instrText> HYPERLINK "https://roszdravnadzor.gov.ru/services/misearch" </w:instrText>
      </w:r>
      <w:r>
        <w:fldChar w:fldCharType="separate"/>
      </w:r>
      <w:r>
        <w:rPr>
          <w:rStyle w:val="CharStyle13"/>
          <w:lang w:val="en-US" w:eastAsia="en-US"/>
        </w:rPr>
        <w:t>https://roszdravnadzor.gov.ru/services/misearch</w:t>
      </w:r>
      <w:r>
        <w:fldChar w:fldCharType="end"/>
      </w:r>
      <w:r>
        <w:rPr>
          <w:rStyle w:val="CharStyle13"/>
          <w:lang w:val="en-US" w:eastAsia="en-US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В заполненной с помощью формы веб-интерфейса заявке участника закупки </w:t>
      </w:r>
      <w:r>
        <w:rPr>
          <w:rStyle w:val="CharStyle13"/>
          <w:lang w:val="en-US" w:eastAsia="en-US"/>
        </w:rPr>
        <w:t xml:space="preserve">№ 60 </w:t>
      </w:r>
      <w:r>
        <w:rPr>
          <w:rStyle w:val="CharStyle13"/>
        </w:rPr>
        <w:t xml:space="preserve">(ИП Данилюк Ю.А.), предложен товар «Дыхательный контур для новорожденных </w:t>
      </w:r>
      <w:r>
        <w:rPr>
          <w:rStyle w:val="CharStyle13"/>
          <w:lang w:val="en-US" w:eastAsia="en-US"/>
        </w:rPr>
        <w:t xml:space="preserve">900МR782», </w:t>
      </w:r>
      <w:r>
        <w:rPr>
          <w:rStyle w:val="CharStyle13"/>
        </w:rPr>
        <w:t xml:space="preserve">приложено регистрационное удостоверение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ФСЗ </w:t>
      </w:r>
      <w:r>
        <w:rPr>
          <w:rStyle w:val="CharStyle13"/>
          <w:lang w:val="en-US" w:eastAsia="en-US"/>
        </w:rPr>
        <w:t xml:space="preserve">2007/00742 </w:t>
      </w:r>
      <w:r>
        <w:rPr>
          <w:rStyle w:val="CharStyle13"/>
        </w:rPr>
        <w:t xml:space="preserve">производитель «Фишер </w:t>
      </w:r>
      <w:r>
        <w:rPr>
          <w:rStyle w:val="CharStyle13"/>
          <w:lang w:val="en-US" w:eastAsia="en-US"/>
        </w:rPr>
        <w:t xml:space="preserve">&amp; </w:t>
      </w:r>
      <w:r>
        <w:rPr>
          <w:rStyle w:val="CharStyle13"/>
        </w:rPr>
        <w:t xml:space="preserve">Пэйкел Хелксер Лимитед», Новая Зеландия. Характеристики товара, указанные в заявке, соответствуют характеристикам, указанным в описании объекта закупки, в том числе указано на совместимость предлагаемого к поставке товара с аппаратом </w:t>
      </w:r>
      <w:r>
        <w:rPr>
          <w:rStyle w:val="CharStyle13"/>
          <w:lang w:val="en-US" w:eastAsia="en-US"/>
        </w:rPr>
        <w:t xml:space="preserve">Stephan REANIMATOR F 120 </w:t>
      </w:r>
      <w:r>
        <w:rPr>
          <w:rStyle w:val="CharStyle13"/>
        </w:rPr>
        <w:t xml:space="preserve">(имеющимся у заказчика). На официальном сайте Росздравнадзора </w:t>
      </w:r>
      <w:r>
        <w:fldChar w:fldCharType="begin"/>
      </w:r>
      <w:r>
        <w:rPr/>
        <w:instrText> HYPERLINK "https://roszdravnadzor.gov.ru/services/misearch" </w:instrText>
      </w:r>
      <w:r>
        <w:fldChar w:fldCharType="separate"/>
      </w:r>
      <w:r>
        <w:rPr>
          <w:rStyle w:val="CharStyle13"/>
          <w:lang w:val="en-US" w:eastAsia="en-US"/>
        </w:rPr>
        <w:t>https://roszdravnadzor.gov.ru/services/misearch</w:t>
      </w:r>
      <w:r>
        <w:fldChar w:fldCharType="end"/>
      </w:r>
      <w:r>
        <w:rPr>
          <w:rStyle w:val="CharStyle13"/>
          <w:lang w:val="en-US" w:eastAsia="en-US"/>
        </w:rPr>
        <w:t xml:space="preserve"> </w:t>
      </w:r>
      <w:r>
        <w:rPr>
          <w:rStyle w:val="CharStyle13"/>
        </w:rPr>
        <w:t>кроме регистрационного удостоверения никакой дополнительной информации (в том числе инструкции) по данному медицинскому изделию не размещено.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Аналогично в заполненной с помощью формы веб-интерфейса заявке участника закупки </w:t>
      </w:r>
      <w:r>
        <w:rPr>
          <w:rStyle w:val="CharStyle13"/>
          <w:lang w:val="en-US" w:eastAsia="en-US"/>
        </w:rPr>
        <w:t xml:space="preserve">№ 200 </w:t>
      </w:r>
      <w:r>
        <w:rPr>
          <w:rStyle w:val="CharStyle13"/>
        </w:rPr>
        <w:t xml:space="preserve">(ИП Зайнулина А.В.) предложен товар «Дыхательный контур для новорожденных </w:t>
      </w:r>
      <w:r>
        <w:rPr>
          <w:rStyle w:val="CharStyle13"/>
          <w:lang w:val="en-US" w:eastAsia="en-US"/>
        </w:rPr>
        <w:t xml:space="preserve">900МR782», </w:t>
      </w:r>
      <w:r>
        <w:rPr>
          <w:rStyle w:val="CharStyle13"/>
        </w:rPr>
        <w:t xml:space="preserve">приложено регистрационное удостоверение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ФСЗ </w:t>
      </w:r>
      <w:r>
        <w:rPr>
          <w:rStyle w:val="CharStyle13"/>
          <w:lang w:val="en-US" w:eastAsia="en-US"/>
        </w:rPr>
        <w:t xml:space="preserve">2007/00742 </w:t>
      </w:r>
      <w:r>
        <w:rPr>
          <w:rStyle w:val="CharStyle13"/>
        </w:rPr>
        <w:t xml:space="preserve">производитель «Фишер </w:t>
      </w:r>
      <w:r>
        <w:rPr>
          <w:rStyle w:val="CharStyle13"/>
          <w:lang w:val="en-US" w:eastAsia="en-US"/>
        </w:rPr>
        <w:t xml:space="preserve">&amp; </w:t>
      </w:r>
      <w:r>
        <w:rPr>
          <w:rStyle w:val="CharStyle13"/>
        </w:rPr>
        <w:t xml:space="preserve">Пэйкел Хелксер Лимитед», Новая Зеландия. Характеристики товара, указанные в заявке, соответствуют характеристикам, указанным в описании объекта закупки, в том числе указано на совместимость предлагаемого к поставке товара с аппаратом </w:t>
      </w:r>
      <w:r>
        <w:rPr>
          <w:rStyle w:val="CharStyle13"/>
          <w:lang w:val="en-US" w:eastAsia="en-US"/>
        </w:rPr>
        <w:t xml:space="preserve">Stephan REANIMATOR F 120, </w:t>
      </w:r>
      <w:r>
        <w:rPr>
          <w:rStyle w:val="CharStyle13"/>
        </w:rPr>
        <w:t xml:space="preserve">(имеющимся у заказчика). На официальном сайте Росздравнадзора </w:t>
      </w:r>
      <w:r>
        <w:fldChar w:fldCharType="begin"/>
      </w:r>
      <w:r>
        <w:rPr/>
        <w:instrText> HYPERLINK "https://roszdravnadzor.gov.ru/services/misearch" </w:instrText>
      </w:r>
      <w:r>
        <w:fldChar w:fldCharType="separate"/>
      </w:r>
      <w:r>
        <w:rPr>
          <w:rStyle w:val="CharStyle13"/>
          <w:lang w:val="en-US" w:eastAsia="en-US"/>
        </w:rPr>
        <w:t>https://roszdravnadzor.gov.ru/services/misearch</w:t>
      </w:r>
      <w:r>
        <w:fldChar w:fldCharType="end"/>
      </w:r>
      <w:r>
        <w:rPr>
          <w:rStyle w:val="CharStyle13"/>
          <w:lang w:val="en-US" w:eastAsia="en-US"/>
        </w:rPr>
        <w:t xml:space="preserve"> </w:t>
      </w:r>
      <w:r>
        <w:rPr>
          <w:rStyle w:val="CharStyle13"/>
        </w:rPr>
        <w:t>кроме регистрационного удостоверения никакой дополнительной информации (в том числе инструкции) по данному медицинскому изделию не размещено.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В силу части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Закона о контрактной системе 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и в соответствии с заявкой такого участника закупки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Перечень оснований для отклонения заявки участника закупки является закрытым, в связи с чем отклонение заявки участника закупки по основаниям, не предусмотренным Законом о контрактной системе не допускается.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Учитывая изложенное, Комиссия Тюменского УФАС России отмечает, что поскольку характеристики товара, представленные в заявках участников закупки </w:t>
      </w:r>
      <w:r>
        <w:rPr>
          <w:rStyle w:val="CharStyle13"/>
          <w:lang w:val="en-US" w:eastAsia="en-US"/>
        </w:rPr>
        <w:t xml:space="preserve">№ 60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№ 200, </w:t>
      </w:r>
      <w:r>
        <w:rPr>
          <w:rStyle w:val="CharStyle13"/>
        </w:rPr>
        <w:t>в полной мере соответствуют описанию объекта закупки, указанному в извещении о закупке, в составе заявок приложены действующие регистрационные удостоверения на закупаемый товар, оснований для отклонения заявок у комиссии по осуществлению закупок в соответствии с требованиями Закона о контрактной системе не имелось.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Также при подведении итогов закупки было учтено мнение заказчика, который дал положительное заключение о допуске заявок всех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Доводы жалобы о том, что участники закупки с номерами заявок </w:t>
      </w:r>
      <w:r>
        <w:rPr>
          <w:rStyle w:val="CharStyle13"/>
          <w:lang w:val="en-US" w:eastAsia="en-US"/>
        </w:rPr>
        <w:t xml:space="preserve">№ 60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№ 200 </w:t>
      </w:r>
      <w:r>
        <w:rPr>
          <w:rStyle w:val="CharStyle13"/>
        </w:rPr>
        <w:t xml:space="preserve">предлагают к поставке товар, не соответствующий описанию объекта закупки по части совместимости аппарата ИВЛ </w:t>
      </w:r>
      <w:r>
        <w:rPr>
          <w:rStyle w:val="CharStyle13"/>
          <w:lang w:val="en-US" w:eastAsia="en-US"/>
        </w:rPr>
        <w:t xml:space="preserve">Stephan REANIMATOR F 120 </w:t>
      </w:r>
      <w:r>
        <w:rPr>
          <w:rStyle w:val="CharStyle13"/>
        </w:rPr>
        <w:t>основаны на предположениях, какими-либо объективными доказательствами не подтверждены.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Заявитель в обоснование доводов жалобы прикладывает следующие официальные письма: письмо ООО «Тримм медицинские системы» исх.№ б/н, без даты, письмо ООО «Тримм медицинские системы» исх.№ 165-т от </w:t>
      </w:r>
      <w:r>
        <w:rPr>
          <w:rStyle w:val="CharStyle13"/>
          <w:lang w:val="en-US" w:eastAsia="en-US"/>
        </w:rPr>
        <w:t xml:space="preserve">24.06.2025, </w:t>
      </w:r>
      <w:r>
        <w:rPr>
          <w:rStyle w:val="CharStyle13"/>
        </w:rPr>
        <w:t xml:space="preserve">письмо об авторизации от </w:t>
      </w:r>
      <w:r>
        <w:rPr>
          <w:rStyle w:val="CharStyle13"/>
          <w:lang w:val="en-US" w:eastAsia="en-US"/>
        </w:rPr>
        <w:t>19.02.2025 Fritz Stephan Gmbh Medizintechnik.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Вместе с тем, представленное в материалы дела письмо об авторизации не содержит нотариального удостоверения перевода с иностранного языка, кроме того, в указанных письмах производителя и официального дистрибьютора идёт речь о формировании цен на поставляемую продукцию, а также о необходимости использования при обслуживании медицинских изделий оригинальных запасных частей производства </w:t>
      </w:r>
      <w:r>
        <w:rPr>
          <w:rStyle w:val="CharStyle13"/>
          <w:lang w:val="en-US" w:eastAsia="en-US"/>
        </w:rPr>
        <w:t>F.Stephan GmbH.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Комиссия Тюменского УФАС России отмечает, что дыхательный контур является именно расходным материалом, а не запасной частью медицинского изделия, поскольку дыхательный контур необходимо регулярно менять для поддержания стерильности и предотвращения возможных рисков загрязнения. По этой причине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перечисленные информационные письма не имеют отношения к рассматриваемому делу.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Запасные части обычно являются составными частями изделия (устройства), а расходные материалы используются в процессе эксплуатации изделия (устройства), а не как отдельный самостоятельный компонент изделия (устройства).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Следовательно, запасная часть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это узел или элемент изделия (устройства) который заменяется при ремонте медицинского изделия для поддержания его работоспособности, в то время как расходный материал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это материал, который полностью расходуется, используется или заменяется в процессе эксплуатации, обслуживания или производства изделия (устройства).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Отсутствие расходного материала к медицинскому оборудованию не влияет на работоспособность самого медицинского оборудования, в то время, как отсутствие необходимой запасной части может повлиять на нормальную работоспособность медицинского оборудования.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Кроме того, представитель заказчика в заседании Комиссии Тюменского УФАС России обратила внимание на то, что на протяжении длительного времени используют в деятельности медицинского учреждения дыхательные контуры производства Новая Зеландия, какие-либо технические проблемы, связанные с эксплуатацией аппарата ИВЛ </w:t>
      </w:r>
      <w:r>
        <w:rPr>
          <w:rStyle w:val="CharStyle13"/>
          <w:lang w:val="en-US" w:eastAsia="en-US"/>
        </w:rPr>
        <w:t xml:space="preserve">Stephan REANIMATOR F 120 </w:t>
      </w:r>
      <w:r>
        <w:rPr>
          <w:rStyle w:val="CharStyle13"/>
        </w:rPr>
        <w:t>при использовании указанных дыхательных контуров, не возникали.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Относительно довода заявителя о снижении победителем закупки предложенной цены контракта более чем на </w:t>
      </w:r>
      <w:r>
        <w:rPr>
          <w:rStyle w:val="CharStyle13"/>
          <w:lang w:val="en-US" w:eastAsia="en-US"/>
        </w:rPr>
        <w:t xml:space="preserve">60 %, </w:t>
      </w:r>
      <w:r>
        <w:rPr>
          <w:rStyle w:val="CharStyle13"/>
        </w:rPr>
        <w:t>Комиссия Тюменского УФАС России отмечает, что в соответствии с Законом о контрактной системе, формирование цены контракта является результатом конкурентной процедуры. Оценка обоснованности ценовых предложений участников торгов не входит в компетенцию комиссии по осуществлению закупок. Действующим законодательством не предусмотрена обязанность комиссии по осуществлению закупок анализировать экономическую целесообразность предложенной участником закупки цены.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Комиссия Тюменского УФАС России в порядке, предусмотренном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 осуществила внеплановую проверку всей без исключения информации и документов, размещенных в ЕИС в сфере закупок по рассматриваемой закупке, а также изучила все электронные отчеты, полученные из ГИС «Независимый регистратор» и все без исключения представленные в материалы дела документы, не ограничиваясь доводами, изложенными в жалобе заявителя, по результатам которой, какие-либо иные нарушения законодательства о контрактной системе не установлены.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Комиссия Тюменского УФАС России полагает необходимым признать жалобу заявителя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40"/>
        <w:jc w:val="both"/>
      </w:pPr>
      <w:r>
        <w:rPr>
          <w:rStyle w:val="CharStyle13"/>
        </w:rPr>
        <w:t xml:space="preserve">На основании изложенного, руководствуясь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99, </w:t>
      </w: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40"/>
        <w:jc w:val="both"/>
      </w:pPr>
      <w:r>
        <w:rPr>
          <w:rStyle w:val="CharStyle13"/>
        </w:rPr>
        <w:t xml:space="preserve">Признать жалобу ООО «Трейд МТ» </w:t>
      </w:r>
      <w:r>
        <w:rPr>
          <w:rStyle w:val="CharStyle13"/>
          <w:b/>
          <w:bCs/>
        </w:rPr>
        <w:t>необоснованной</w:t>
      </w:r>
      <w:r>
        <w:rPr>
          <w:rStyle w:val="CharStyle13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4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 настоящее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решение может быть оспорено в арбитражном суде в течение трех месяцев со дня его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принятия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3" w:right="462" w:bottom="1180" w:left="117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21336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76200</wp:posOffset>
                </wp:positionV>
                <wp:extent cx="1795145" cy="24066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514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6.pt;width:141.34999999999999pt;height:18.949999999999999pt;z-index:-125829374;mso-wrap-distance-left:0;mso-wrap-distance-top:6.pt;mso-wrap-distance-right:0;mso-wrap-distance-bottom:16.8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4465" distB="0" distL="0" distR="1804670" simplePos="0" relativeHeight="125829381" behindDoc="0" locked="0" layoutInCell="1" allowOverlap="1">
            <wp:simplePos x="0" y="0"/>
            <wp:positionH relativeFrom="page">
              <wp:posOffset>2735580</wp:posOffset>
            </wp:positionH>
            <wp:positionV relativeFrom="paragraph">
              <wp:posOffset>164465</wp:posOffset>
            </wp:positionV>
            <wp:extent cx="316865" cy="36576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3131820</wp:posOffset>
                </wp:positionH>
                <wp:positionV relativeFrom="paragraph">
                  <wp:posOffset>234315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6.59999999999999pt;margin-top:18.44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213360" distL="0" distR="0" simplePos="0" relativeHeight="125829382" behindDoc="0" locked="0" layoutInCell="1" allowOverlap="1">
                <wp:simplePos x="0" y="0"/>
                <wp:positionH relativeFrom="page">
                  <wp:posOffset>4933315</wp:posOffset>
                </wp:positionH>
                <wp:positionV relativeFrom="paragraph">
                  <wp:posOffset>76200</wp:posOffset>
                </wp:positionV>
                <wp:extent cx="953770" cy="24066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Ю.Д. Верзун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88.44999999999999pt;margin-top:6.pt;width:75.100000000000009pt;height:18.949999999999999pt;z-index:-125829371;mso-wrap-distance-left:0;mso-wrap-distance-top:6.pt;mso-wrap-distance-right:0;mso-wrap-distance-bottom:16.8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Ю.Д. Верзун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  <w:sz w:val="11"/>
          <w:szCs w:val="11"/>
        </w:rPr>
        <w:t>Верзун Юрий Дмитриевич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49CC80692629EB5A5C76A6F2177FD556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Действителен с 16.07.2024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09.10.2025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70" w:bottom="9728" w:left="128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350520" distL="0" distR="0" simplePos="0" relativeHeight="12582938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76200</wp:posOffset>
                </wp:positionV>
                <wp:extent cx="1280160" cy="24384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6.pt;width:100.8pt;height:19.199999999999999pt;z-index:-125829369;mso-wrap-distance-left:0;mso-wrap-distance-top:6.pt;mso-wrap-distance-right:0;mso-wrap-distance-bottom:27.6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9225" distB="0" distL="0" distR="1786255" simplePos="0" relativeHeight="125829386" behindDoc="0" locked="0" layoutInCell="1" allowOverlap="1">
            <wp:simplePos x="0" y="0"/>
            <wp:positionH relativeFrom="page">
              <wp:posOffset>2710815</wp:posOffset>
            </wp:positionH>
            <wp:positionV relativeFrom="paragraph">
              <wp:posOffset>149225</wp:posOffset>
            </wp:positionV>
            <wp:extent cx="359410" cy="52451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3171190</wp:posOffset>
                </wp:positionH>
                <wp:positionV relativeFrom="paragraph">
                  <wp:posOffset>554355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9.70000000000002pt;margin-top:43.64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3131185</wp:posOffset>
                </wp:positionH>
                <wp:positionV relativeFrom="paragraph">
                  <wp:posOffset>237490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6.55000000000001pt;margin-top:18.69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350520" distL="0" distR="0" simplePos="0" relativeHeight="125829387" behindDoc="0" locked="0" layoutInCell="1" allowOverlap="1">
                <wp:simplePos x="0" y="0"/>
                <wp:positionH relativeFrom="page">
                  <wp:posOffset>4933315</wp:posOffset>
                </wp:positionH>
                <wp:positionV relativeFrom="paragraph">
                  <wp:posOffset>76200</wp:posOffset>
                </wp:positionV>
                <wp:extent cx="938530" cy="24384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853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3"/>
                              </w:rPr>
                              <w:t>И.Г. Назаров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388.44999999999999pt;margin-top:6.pt;width:73.900000000000006pt;height:19.199999999999999pt;z-index:-125829366;mso-wrap-distance-left:0;mso-wrap-distance-top:6.pt;mso-wrap-distance-right:0;mso-wrap-distance-bottom:27.6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3"/>
                        </w:rPr>
                        <w:t>И.Г. Назаров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50800" distR="1837055" simplePos="0" relativeHeight="125829389" behindDoc="0" locked="0" layoutInCell="1" allowOverlap="1">
            <wp:simplePos x="0" y="0"/>
            <wp:positionH relativeFrom="page">
              <wp:posOffset>2710815</wp:posOffset>
            </wp:positionH>
            <wp:positionV relativeFrom="paragraph">
              <wp:posOffset>478790</wp:posOffset>
            </wp:positionV>
            <wp:extent cx="359410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3171190</wp:posOffset>
                </wp:positionH>
                <wp:positionV relativeFrom="paragraph">
                  <wp:posOffset>896620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9.70000000000002pt;margin-top:70.600000000000009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3131185</wp:posOffset>
                </wp:positionH>
                <wp:positionV relativeFrom="paragraph">
                  <wp:posOffset>579120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6.55000000000001pt;margin-top:45.6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  <w:sz w:val="11"/>
          <w:szCs w:val="11"/>
        </w:rPr>
        <w:t>Назаров Игорь Геннадьевич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00BF4A51C3DEFFF34CF2DC5291490E994</w:t>
      </w:r>
      <w:r>
        <w:rPr>
          <w:rStyle w:val="CharStyle22"/>
          <w:lang w:val="en-US" w:eastAsia="en-US"/>
        </w:rPr>
        <w:t>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rStyle w:val="CharStyle22"/>
        </w:rPr>
        <w:t xml:space="preserve">Действителен с </w:t>
      </w:r>
      <w:r>
        <w:rPr>
          <w:rStyle w:val="CharStyle22"/>
          <w:color w:val="5D5D5D"/>
        </w:rPr>
        <w:t xml:space="preserve">23.12.2024 по </w:t>
      </w:r>
      <w:r>
        <w:rPr>
          <w:rStyle w:val="CharStyle22"/>
        </w:rPr>
        <w:t>18.03.2026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left"/>
      </w:pPr>
      <w:r>
        <w:rPr>
          <w:rStyle w:val="CharStyle13"/>
        </w:rPr>
        <w:t>В.В. Романенко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  <w:sz w:val="11"/>
          <w:szCs w:val="11"/>
        </w:rPr>
        <w:t>Романенко Вадим Владимирович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00E120FF9D284A25B6D1D85C9073629D8E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Действителен с 20.01.2025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15.04.2026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70" w:bottom="1110" w:left="128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713105</wp:posOffset>
              </wp:positionH>
              <wp:positionV relativeFrom="page">
                <wp:posOffset>10006965</wp:posOffset>
              </wp:positionV>
              <wp:extent cx="64897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2025-6049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149999999999999pt;margin-top:787.95000000000005pt;width:51.100000000000001pt;height:10.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2025-6049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4897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2025-6049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70000000000005pt;width:51.100000000000001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2025-6049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9"/>
      <w:sz w:val="17"/>
      <w:szCs w:val="17"/>
      <w:u w:val="none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9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5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20" w:line="295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9"/>
      <w:sz w:val="17"/>
      <w:szCs w:val="17"/>
      <w:u w:val="none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220" w:line="24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9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5)"/>
    <w:basedOn w:val="Normal"/>
    <w:link w:val="CharStyle20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0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