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  <w:lang w:val="ru-RU" w:eastAsia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  <w:lang w:val="ru-RU" w:eastAsia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Курской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lang w:val="ru-RU" w:eastAsia="ru-RU"/>
        </w:rPr>
        <w:t xml:space="preserve">ул. Марата, </w:t>
      </w:r>
      <w:r>
        <w:rPr>
          <w:rStyle w:val="CharStyle6"/>
        </w:rPr>
        <w:t xml:space="preserve">9, </w:t>
      </w:r>
      <w:r>
        <w:rPr>
          <w:rStyle w:val="CharStyle6"/>
          <w:lang w:val="ru-RU" w:eastAsia="ru-RU"/>
        </w:rPr>
        <w:t xml:space="preserve">г. Курск, </w:t>
      </w:r>
      <w:r>
        <w:rPr>
          <w:rStyle w:val="CharStyle6"/>
        </w:rPr>
        <w:t>305000</w:t>
        <w:br/>
      </w:r>
      <w:r>
        <w:rPr>
          <w:rStyle w:val="CharStyle6"/>
          <w:lang w:val="ru-RU" w:eastAsia="ru-RU"/>
        </w:rPr>
        <w:t xml:space="preserve">тел. </w:t>
      </w:r>
      <w:r>
        <w:rPr>
          <w:rStyle w:val="CharStyle6"/>
        </w:rPr>
        <w:t xml:space="preserve">(4712) 70-08-15, </w:t>
      </w:r>
      <w:r>
        <w:rPr>
          <w:rStyle w:val="CharStyle6"/>
          <w:lang w:val="ru-RU" w:eastAsia="ru-RU"/>
        </w:rPr>
        <w:t xml:space="preserve">факс </w:t>
      </w:r>
      <w:r>
        <w:rPr>
          <w:rStyle w:val="CharStyle6"/>
        </w:rPr>
        <w:t>(4712) 70-87-02</w:t>
        <w:br/>
        <w:t xml:space="preserve">e-mail: </w:t>
      </w:r>
      <w:r>
        <w:fldChar w:fldCharType="begin"/>
      </w:r>
      <w:r>
        <w:rPr/>
        <w:instrText> HYPERLINK "mailto:to46@fas.gov.ru" </w:instrText>
      </w:r>
      <w:r>
        <w:fldChar w:fldCharType="separate"/>
      </w:r>
      <w:r>
        <w:rPr>
          <w:rStyle w:val="CharStyle6"/>
        </w:rPr>
        <w:t>to46@fas.gov.ru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77" w:val="left"/>
          <w:tab w:pos="2477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rStyle w:val="CharStyle11"/>
          <w:lang w:val="en-US" w:eastAsia="en-US"/>
        </w:rPr>
        <w:t>29.08.2025</w:t>
        <w:tab/>
        <w:t>№’</w:t>
        <w:tab/>
      </w:r>
      <w:r>
        <w:rPr>
          <w:rStyle w:val="CharStyle11"/>
        </w:rPr>
        <w:t>ОБ/2607/25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77" w:val="left"/>
        </w:tabs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3"/>
        </w:rPr>
        <w:t xml:space="preserve">На </w:t>
      </w:r>
      <w:r>
        <w:rPr>
          <w:rStyle w:val="CharStyle13"/>
          <w:lang w:val="en-US" w:eastAsia="en-US"/>
        </w:rPr>
        <w:t>№</w:t>
      </w:r>
      <w:r>
        <w:rPr>
          <w:rStyle w:val="CharStyle13"/>
          <w:color w:val="53608F"/>
          <w:lang w:val="en-US" w:eastAsia="en-US"/>
        </w:rPr>
        <w:t>2</w:t>
        <w:tab/>
      </w:r>
      <w:r>
        <w:rPr>
          <w:rStyle w:val="CharStyle13"/>
          <w:rFonts w:ascii="Lucida Sans Unicode" w:eastAsia="Lucida Sans Unicode" w:hAnsi="Lucida Sans Unicode" w:cs="Lucida Sans Unicode"/>
          <w:sz w:val="12"/>
          <w:szCs w:val="12"/>
        </w:rPr>
        <w:t>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rStyle w:val="CharStyle11"/>
        </w:rPr>
        <w:t>Главному врачу ОБУЗ «КОМКБ»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1"/>
          <w:lang w:val="en-US" w:eastAsia="en-US"/>
        </w:rPr>
        <w:t xml:space="preserve">305007, </w:t>
      </w:r>
      <w:r>
        <w:rPr>
          <w:rStyle w:val="CharStyle11"/>
        </w:rPr>
        <w:t xml:space="preserve">г. Курск, ул. Сумская, 45а </w:t>
      </w:r>
      <w:r>
        <w:fldChar w:fldCharType="begin"/>
      </w:r>
      <w:r>
        <w:rPr/>
        <w:instrText> HYPERLINK "mailto:okb@sovtest.ru" </w:instrText>
      </w:r>
      <w:r>
        <w:fldChar w:fldCharType="separate"/>
      </w:r>
      <w:r>
        <w:rPr>
          <w:rStyle w:val="CharStyle11"/>
          <w:lang w:val="en-US" w:eastAsia="en-US"/>
        </w:rPr>
        <w:t>okb@sovtest.ru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Директору ОКУ «Центр закупок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rStyle w:val="CharStyle11"/>
        </w:rPr>
        <w:t>Курской области»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lang w:val="en-US" w:eastAsia="en-US"/>
        </w:rPr>
        <w:t xml:space="preserve">305000, </w:t>
      </w:r>
      <w:r>
        <w:rPr>
          <w:rStyle w:val="CharStyle11"/>
        </w:rPr>
        <w:t xml:space="preserve">г. Курск, Красная площадь, д.6, подъезд </w:t>
      </w:r>
      <w:r>
        <w:rPr>
          <w:rStyle w:val="CharStyle11"/>
          <w:lang w:val="en-US" w:eastAsia="en-US"/>
        </w:rPr>
        <w:t>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"mailto:ts.zakupok@yandex.ru" </w:instrText>
      </w:r>
      <w:r>
        <w:fldChar w:fldCharType="separate"/>
      </w:r>
      <w:r>
        <w:rPr>
          <w:rStyle w:val="CharStyle11"/>
          <w:lang w:val="en-US" w:eastAsia="en-US"/>
        </w:rPr>
        <w:t>ts.zakupok@yandex.ru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Директору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1429" w:bottom="1207" w:left="1246" w:header="0" w:footer="3" w:gutter="0"/>
          <w:pgNumType w:start="1"/>
          <w:cols w:num="2" w:space="1094"/>
          <w:noEndnote/>
          <w:titlePg/>
          <w:rtlGutter w:val="0"/>
          <w:docGrid w:linePitch="360"/>
        </w:sectPr>
      </w:pPr>
      <w:r>
        <w:rPr>
          <w:rStyle w:val="CharStyle11"/>
        </w:rPr>
        <w:t>ООО «МЕДТЕХНИКА»</w:t>
      </w: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0" w:right="0" w:bottom="8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520" w:right="0" w:firstLine="0"/>
        <w:jc w:val="left"/>
      </w:pPr>
      <w:r>
        <w:rPr>
          <w:rStyle w:val="CharStyle11"/>
          <w:lang w:val="en-US" w:eastAsia="en-US"/>
        </w:rPr>
        <w:t xml:space="preserve">620057, </w:t>
      </w:r>
      <w:r>
        <w:rPr>
          <w:rStyle w:val="CharStyle11"/>
        </w:rPr>
        <w:t>Свердловская обл.,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520" w:right="0" w:firstLine="0"/>
        <w:jc w:val="left"/>
      </w:pPr>
      <w:r>
        <w:rPr>
          <w:rStyle w:val="CharStyle11"/>
        </w:rPr>
        <w:t>г. Екатеринбург,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520" w:right="0" w:firstLine="0"/>
        <w:jc w:val="left"/>
      </w:pPr>
      <w:r>
        <w:rPr>
          <w:rStyle w:val="CharStyle11"/>
        </w:rPr>
        <w:t xml:space="preserve">ул. Баумана, д. </w:t>
      </w:r>
      <w:r>
        <w:rPr>
          <w:rStyle w:val="CharStyle11"/>
          <w:lang w:val="en-US" w:eastAsia="en-US"/>
        </w:rPr>
        <w:t xml:space="preserve">48, </w:t>
      </w:r>
      <w:r>
        <w:rPr>
          <w:rStyle w:val="CharStyle11"/>
        </w:rPr>
        <w:t xml:space="preserve">кв. </w:t>
      </w:r>
      <w:r>
        <w:rPr>
          <w:rStyle w:val="CharStyle11"/>
          <w:lang w:val="en-US" w:eastAsia="en-US"/>
        </w:rPr>
        <w:t xml:space="preserve">16 </w:t>
      </w:r>
      <w:r>
        <w:fldChar w:fldCharType="begin"/>
      </w:r>
      <w:r>
        <w:rPr/>
        <w:instrText> HYPERLINK "mailto:medtexdk@mail.ru" </w:instrText>
      </w:r>
      <w:r>
        <w:fldChar w:fldCharType="separate"/>
      </w:r>
      <w:r>
        <w:rPr>
          <w:rStyle w:val="CharStyle11"/>
          <w:lang w:val="en-US" w:eastAsia="en-US"/>
        </w:rPr>
        <w:t>medtexdk@mail.ru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520" w:right="0" w:firstLine="0"/>
        <w:jc w:val="left"/>
      </w:pPr>
      <w:r>
        <w:rPr>
          <w:rStyle w:val="CharStyle11"/>
        </w:rPr>
        <w:t>Оператору электронной площадки АО «Сбербанк-АСТ»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520" w:right="0" w:firstLine="0"/>
        <w:jc w:val="left"/>
      </w:pP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11"/>
          <w:lang w:val="en-US" w:eastAsia="en-US"/>
        </w:rPr>
        <w:t>info@sberbank-ast.ru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64" w:lineRule="auto"/>
        <w:ind w:left="0" w:right="0" w:firstLine="0"/>
        <w:jc w:val="center"/>
        <w:rPr>
          <w:sz w:val="22"/>
          <w:szCs w:val="22"/>
        </w:rPr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632460</wp:posOffset>
                </wp:positionH>
                <wp:positionV relativeFrom="paragraph">
                  <wp:posOffset>850900</wp:posOffset>
                </wp:positionV>
                <wp:extent cx="3157855" cy="393065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785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 xml:space="preserve">Резолютивная часть объявлена </w:t>
                            </w:r>
                            <w:r>
                              <w:rPr>
                                <w:rStyle w:val="CharStyle11"/>
                                <w:lang w:val="en-US" w:eastAsia="en-US"/>
                              </w:rPr>
                              <w:t xml:space="preserve">28 </w:t>
                            </w:r>
                            <w:r>
                              <w:rPr>
                                <w:rStyle w:val="CharStyle11"/>
                              </w:rPr>
                              <w:t>августа 2025г.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 xml:space="preserve">Изготовлено в полном объеме </w:t>
                            </w:r>
                            <w:r>
                              <w:rPr>
                                <w:rStyle w:val="CharStyle11"/>
                                <w:lang w:val="en-US" w:eastAsia="en-US"/>
                              </w:rPr>
                              <w:t xml:space="preserve">29 </w:t>
                            </w:r>
                            <w:r>
                              <w:rPr>
                                <w:rStyle w:val="CharStyle11"/>
                              </w:rPr>
                              <w:t>августа 2025г.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9.800000000000004pt;margin-top:67.pt;width:248.65000000000001pt;height:30.94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 xml:space="preserve">Резолютивная часть объявлена </w:t>
                      </w:r>
                      <w:r>
                        <w:rPr>
                          <w:rStyle w:val="CharStyle11"/>
                          <w:lang w:val="en-US" w:eastAsia="en-US"/>
                        </w:rPr>
                        <w:t xml:space="preserve">28 </w:t>
                      </w:r>
                      <w:r>
                        <w:rPr>
                          <w:rStyle w:val="CharStyle11"/>
                        </w:rPr>
                        <w:t>августа 2025г.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 xml:space="preserve">Изготовлено в полном объеме </w:t>
                      </w:r>
                      <w:r>
                        <w:rPr>
                          <w:rStyle w:val="CharStyle11"/>
                          <w:lang w:val="en-US" w:eastAsia="en-US"/>
                        </w:rPr>
                        <w:t xml:space="preserve">29 </w:t>
                      </w:r>
                      <w:r>
                        <w:rPr>
                          <w:rStyle w:val="CharStyle11"/>
                        </w:rPr>
                        <w:t>августа 2025г.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1"/>
          <w:b/>
          <w:bCs/>
          <w:sz w:val="22"/>
          <w:szCs w:val="22"/>
        </w:rPr>
        <w:t>РЕШЕНИЕ</w:t>
        <w:br/>
        <w:t xml:space="preserve">по делу </w:t>
      </w:r>
      <w:r>
        <w:rPr>
          <w:rStyle w:val="CharStyle11"/>
          <w:b/>
          <w:bCs/>
          <w:sz w:val="22"/>
          <w:szCs w:val="22"/>
          <w:lang w:val="en-US" w:eastAsia="en-US"/>
        </w:rPr>
        <w:t>№046/06/42-285/2025</w:t>
        <w:br/>
      </w:r>
      <w:r>
        <w:rPr>
          <w:rStyle w:val="CharStyle11"/>
          <w:b/>
          <w:bCs/>
          <w:sz w:val="22"/>
          <w:szCs w:val="22"/>
        </w:rPr>
        <w:t>Комиссии Управления Федеральной антимонопольной службы</w:t>
        <w:br/>
        <w:t>по Курской области</w:t>
      </w:r>
    </w:p>
    <w:tbl>
      <w:tblPr>
        <w:tblOverlap w:val="never"/>
        <w:jc w:val="left"/>
        <w:tblLayout w:type="fixed"/>
      </w:tblPr>
      <w:tblGrid>
        <w:gridCol w:w="4579"/>
        <w:gridCol w:w="2942"/>
        <w:gridCol w:w="2798"/>
      </w:tblGrid>
      <w:tr>
        <w:trPr>
          <w:trHeight w:val="51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(далее </w:t>
            </w:r>
            <w:r>
              <w:rPr>
                <w:rStyle w:val="CharStyle18"/>
                <w:lang w:val="en-US" w:eastAsia="en-US"/>
              </w:rPr>
              <w:t xml:space="preserve">- </w:t>
            </w:r>
            <w:r>
              <w:rPr>
                <w:rStyle w:val="CharStyle18"/>
              </w:rPr>
              <w:t>Комиссия):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0320" w:h="3307" w:vSpace="710" w:wrap="notBeside" w:vAnchor="text" w:hAnchor="text" w:x="66" w:y="7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председатель Комиссии,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>
              <w:framePr w:w="10320" w:h="3307" w:vSpace="710" w:wrap="notBeside" w:vAnchor="text" w:hAnchor="text" w:x="66" w:y="71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0320" w:h="3307" w:vSpace="710" w:wrap="notBeside" w:vAnchor="text" w:hAnchor="text" w:x="66" w:y="7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член Комиссии,</w:t>
            </w:r>
          </w:p>
        </w:tc>
      </w:tr>
      <w:tr>
        <w:trPr>
          <w:trHeight w:val="4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>
              <w:framePr w:w="10320" w:h="3307" w:vSpace="710" w:wrap="notBeside" w:vAnchor="text" w:hAnchor="text" w:x="66" w:y="71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10320" w:h="3307" w:vSpace="710" w:wrap="notBeside" w:vAnchor="text" w:hAnchor="text" w:x="66" w:y="7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член Комиссии,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Заявитель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Общество с ограниченной ответственностью «МЕДТЕХНИКА»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Ф.И.О. участвующего (-их) в заседании представителя (-ей)заявителя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Заказчик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320" w:h="3307" w:vSpace="710" w:wrap="notBeside" w:vAnchor="text" w:hAnchor="text" w:x="66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Областное бюджетное учреждение здравоохранения</w:t>
            </w:r>
          </w:p>
        </w:tc>
      </w:tr>
    </w:tbl>
    <w:p>
      <w:pPr>
        <w:pStyle w:val="Style19"/>
        <w:keepNext w:val="0"/>
        <w:keepLines w:val="0"/>
        <w:framePr w:w="845" w:h="341" w:hSpace="65" w:wrap="notBeside" w:vAnchor="text" w:hAnchor="text" w:x="94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г. Курск</w:t>
      </w:r>
    </w:p>
    <w:p>
      <w:pPr>
        <w:widowControl w:val="0"/>
        <w:spacing w:line="1" w:lineRule="exact"/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22"/>
        </w:rPr>
        <w:t>llllllllllllllllllllllll</w:t>
      </w:r>
      <w:bookmarkEnd w:id="0"/>
      <w:r>
        <w:br w:type="page"/>
      </w:r>
    </w:p>
    <w:tbl>
      <w:tblPr>
        <w:tblOverlap w:val="never"/>
        <w:jc w:val="center"/>
        <w:tblLayout w:type="fixed"/>
      </w:tblPr>
      <w:tblGrid>
        <w:gridCol w:w="4584"/>
        <w:gridCol w:w="5731"/>
      </w:tblGrid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«Курская областная многопрофильная клиническая больница»</w:t>
            </w:r>
          </w:p>
        </w:tc>
      </w:tr>
      <w:tr>
        <w:trPr>
          <w:trHeight w:val="11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rStyle w:val="CharStyle18"/>
              </w:rPr>
              <w:t>Ф.И.О. участвующего (-их) в заседании представителя (-ей)заказчика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392" w:val="left"/>
              </w:tabs>
              <w:bidi w:val="0"/>
              <w:spacing w:before="0" w:after="240" w:line="240" w:lineRule="auto"/>
              <w:ind w:left="0" w:right="0" w:firstLine="0"/>
              <w:jc w:val="left"/>
            </w:pPr>
            <w:r>
              <w:rPr>
                <w:rStyle w:val="CharStyle18"/>
                <w:lang w:val="en-US" w:eastAsia="en-US"/>
              </w:rPr>
              <w:t>"</w:t>
              <w:tab/>
              <w:t xml:space="preserve">" ' </w:t>
            </w:r>
            <w:r>
              <w:rPr>
                <w:rStyle w:val="CharStyle18"/>
              </w:rPr>
              <w:t>о доверенности, личность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20" w:right="0" w:firstLine="0"/>
              <w:jc w:val="left"/>
            </w:pPr>
            <w:r>
              <w:rPr>
                <w:rStyle w:val="CharStyle18"/>
              </w:rPr>
              <w:t>оверенности, личность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Уполномоченное учреждение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rStyle w:val="CharStyle18"/>
              </w:rPr>
              <w:t>Областное казенное учреждение «Центр закупок Курской области»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8"/>
              </w:rPr>
              <w:t>(по доверенности, личность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Способ определения поставщика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Запрос котировок в электронной форме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 xml:space="preserve">Закупка </w:t>
            </w:r>
            <w:r>
              <w:rPr>
                <w:rStyle w:val="CharStyle18"/>
                <w:lang w:val="en-US" w:eastAsia="en-US"/>
              </w:rPr>
              <w:t>№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  <w:lang w:val="en-US" w:eastAsia="en-US"/>
              </w:rPr>
              <w:t>0744200000225006983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Объект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 xml:space="preserve">Поставка медицинских изделий </w:t>
            </w:r>
            <w:r>
              <w:rPr>
                <w:rStyle w:val="CharStyle18"/>
                <w:lang w:val="en-US" w:eastAsia="en-US"/>
              </w:rPr>
              <w:t xml:space="preserve">- </w:t>
            </w:r>
            <w:r>
              <w:rPr>
                <w:rStyle w:val="CharStyle18"/>
              </w:rPr>
              <w:t>степлеров циркулярных внутрипросветных, одноразового использования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Начальная (максимальная) цена контракта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  <w:lang w:val="en-US" w:eastAsia="en-US"/>
              </w:rPr>
              <w:t xml:space="preserve">292 999 </w:t>
            </w:r>
            <w:r>
              <w:rPr>
                <w:rStyle w:val="CharStyle18"/>
              </w:rPr>
              <w:t>руб.95 коп.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Дата размещения извещения об осуществлении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  <w:lang w:val="en-US" w:eastAsia="en-US"/>
              </w:rPr>
              <w:t>15.08.2025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Изменение (-я) извещения об осуществлении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 xml:space="preserve">Разъяснение (-я) положений извещения об осуществлении закупки, размещенные в единой информационной системе (далее </w:t>
            </w:r>
            <w:r>
              <w:rPr>
                <w:rStyle w:val="CharStyle18"/>
                <w:lang w:val="en-US" w:eastAsia="en-US"/>
              </w:rPr>
              <w:t xml:space="preserve">- </w:t>
            </w:r>
            <w:r>
              <w:rPr>
                <w:rStyle w:val="CharStyle18"/>
              </w:rPr>
              <w:t>ЕИС)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Дата окончания подачи заявок на участие в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  <w:lang w:val="en-US" w:eastAsia="en-US"/>
              </w:rPr>
              <w:t>22.08.2025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Количество поданных заявок на участие в закупке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  <w:lang w:val="en-US" w:eastAsia="en-US"/>
              </w:rPr>
              <w:t xml:space="preserve">1 </w:t>
            </w:r>
            <w:r>
              <w:rPr>
                <w:rStyle w:val="CharStyle18"/>
              </w:rPr>
              <w:t xml:space="preserve">(одна) с идентификационным номером заявки </w:t>
            </w:r>
            <w:r>
              <w:rPr>
                <w:rStyle w:val="CharStyle18"/>
                <w:lang w:val="en-US" w:eastAsia="en-US"/>
              </w:rPr>
              <w:t>215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  <w:lang w:val="en-US" w:eastAsia="en-US"/>
              </w:rPr>
              <w:t xml:space="preserve">1 </w:t>
            </w:r>
            <w:r>
              <w:rPr>
                <w:rStyle w:val="CharStyle18"/>
              </w:rPr>
              <w:t xml:space="preserve">(одна) с идентификационным номером заявки </w:t>
            </w:r>
            <w:r>
              <w:rPr>
                <w:rStyle w:val="CharStyle18"/>
                <w:lang w:val="en-US" w:eastAsia="en-US"/>
              </w:rPr>
              <w:t>215</w:t>
            </w:r>
          </w:p>
        </w:tc>
      </w:tr>
      <w:tr>
        <w:trPr>
          <w:trHeight w:val="8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</w:rPr>
              <w:t>Контракт не заключен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8"/>
              </w:rPr>
              <w:t>Национальный проект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8"/>
                <w:lang w:val="en-US" w:eastAsia="en-US"/>
              </w:rPr>
              <w:t>-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20" w:right="0" w:firstLine="720"/>
        <w:jc w:val="both"/>
      </w:pPr>
      <w:r>
        <w:rPr>
          <w:rStyle w:val="CharStyle11"/>
        </w:rPr>
        <w:t>Заседание проведено комплексно: очно и дистанционно с использованием средств видео</w:t>
        <w:softHyphen/>
        <w:t>конференц-связи по ссылке</w:t>
      </w:r>
      <w:r>
        <w:fldChar w:fldCharType="begin"/>
      </w:r>
      <w:r>
        <w:rPr/>
        <w:instrText> HYPERLINK "https://fasl.trueconf.rU/c/1271295666" </w:instrText>
      </w:r>
      <w:r>
        <w:fldChar w:fldCharType="separate"/>
      </w:r>
      <w:r>
        <w:rPr>
          <w:rStyle w:val="CharStyle11"/>
        </w:rPr>
        <w:t xml:space="preserve"> </w:t>
      </w:r>
      <w:r>
        <w:rPr>
          <w:rStyle w:val="CharStyle11"/>
          <w:b/>
          <w:bCs/>
          <w:lang w:val="en-US" w:eastAsia="en-US"/>
        </w:rPr>
        <w:t>https://fasl.trueconf.rU/c/1271295666</w:t>
      </w:r>
      <w:r>
        <w:fldChar w:fldCharType="end"/>
      </w:r>
      <w:r>
        <w:rPr>
          <w:rStyle w:val="CharStyle11"/>
          <w:b/>
          <w:bCs/>
          <w:lang w:val="en-US" w:eastAsia="en-US"/>
        </w:rPr>
        <w:t xml:space="preserve">, </w:t>
      </w:r>
      <w:r>
        <w:rPr>
          <w:rStyle w:val="CharStyle11"/>
        </w:rPr>
        <w:t>на заседании велась аудиозапись.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1"/>
        </w:rPr>
        <w:t>Довод (-ы) жалобы: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720"/>
        <w:jc w:val="both"/>
      </w:pPr>
      <w:r>
        <w:rPr>
          <w:rStyle w:val="CharStyle11"/>
        </w:rPr>
        <w:t>по мнению заявителя, заказчиком описание объекта закупки сформировано с нарушением требований законодательства РФ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20" w:right="0" w:firstLine="720"/>
        <w:jc w:val="both"/>
      </w:pPr>
      <w:r>
        <w:rPr>
          <w:rStyle w:val="CharStyle11"/>
        </w:rPr>
        <w:t>Довод (-ы) возражений, объяснений, заявлений, доказательства и ходатайства лиц, участвующих в деле: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представители заказчика возражали против доводов жалобы, указали, что извещение об осуществлении закупки сформировано в соответствии с требованиями Федерального закона от </w:t>
      </w:r>
      <w:r>
        <w:rPr>
          <w:rStyle w:val="CharStyle11"/>
          <w:lang w:val="en-US" w:eastAsia="en-US"/>
        </w:rPr>
        <w:t xml:space="preserve">05.04.2013 № </w:t>
      </w:r>
      <w:r>
        <w:rPr>
          <w:rStyle w:val="CharStyle11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ФЗ «О контрактной системе</w:t>
      </w:r>
      <w:r>
        <w:rPr>
          <w:rStyle w:val="CharStyle11"/>
          <w:lang w:val="en-US" w:eastAsia="en-US"/>
        </w:rPr>
        <w:t>...»);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представитель уполномоченного учреждения возражала против доводов жалобы, так же указала, что извещение об осуществлении закупки не противоречит требованиям ФЗ «О контрактной системе</w:t>
      </w:r>
      <w:r>
        <w:rPr>
          <w:rStyle w:val="CharStyle11"/>
          <w:lang w:val="en-US" w:eastAsia="en-US"/>
        </w:rPr>
        <w:t>...».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По результатам проведенной на основании ч.15 ст.99, ст.106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ФЗ «О контрактной системе</w:t>
      </w:r>
      <w:r>
        <w:rPr>
          <w:rStyle w:val="CharStyle11"/>
          <w:lang w:val="en-US" w:eastAsia="en-US"/>
        </w:rPr>
        <w:t xml:space="preserve">...»), </w:t>
      </w:r>
      <w:r>
        <w:rPr>
          <w:rStyle w:val="CharStyle11"/>
        </w:rPr>
        <w:t xml:space="preserve">Постановления Правительства РФ от </w:t>
      </w:r>
      <w:r>
        <w:rPr>
          <w:rStyle w:val="CharStyle11"/>
          <w:lang w:val="en-US" w:eastAsia="en-US"/>
        </w:rPr>
        <w:t xml:space="preserve">01.10.2020 №1576 </w:t>
      </w:r>
      <w:r>
        <w:rPr>
          <w:rStyle w:val="CharStyle11"/>
        </w:rPr>
        <w:t>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</w:t>
      </w:r>
      <w:r>
        <w:rPr>
          <w:rStyle w:val="CharStyle11"/>
        </w:rPr>
        <w:t>ВЭБ.РФ</w:t>
      </w:r>
      <w:r>
        <w:rPr>
          <w:rStyle w:val="CharStyle11"/>
        </w:rPr>
        <w:t>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1"/>
        </w:rPr>
        <w:t>У С Т А Н О В И Л 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соответствии с ч.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>ФЗ «О контрактной сис</w:t>
      </w:r>
      <w:r>
        <w:rPr>
          <w:rStyle w:val="CharStyle11"/>
          <w:lang w:val="en-US" w:eastAsia="en-US"/>
        </w:rPr>
        <w:t>I</w:t>
      </w:r>
      <w:r>
        <w:rPr>
          <w:rStyle w:val="CharStyle11"/>
        </w:rPr>
        <w:t>теме.»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предусмотренную ч.1 ст.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ФЗ «О контрактной сис</w:t>
      </w:r>
      <w:r>
        <w:rPr>
          <w:rStyle w:val="CharStyle11"/>
          <w:lang w:val="en-US" w:eastAsia="en-US"/>
        </w:rPr>
        <w:t>I</w:t>
      </w:r>
      <w:r>
        <w:rPr>
          <w:rStyle w:val="CharStyle11"/>
        </w:rPr>
        <w:t xml:space="preserve">теме.» </w:t>
      </w:r>
      <w:r>
        <w:rPr>
          <w:rStyle w:val="CharStyle11"/>
          <w:lang w:val="en-US" w:eastAsia="en-US"/>
        </w:rPr>
        <w:t>&gt; 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ФЗ «О контрактной сис</w:t>
      </w:r>
      <w:r>
        <w:rPr>
          <w:rStyle w:val="CharStyle11"/>
          <w:lang w:val="en-US" w:eastAsia="en-US"/>
        </w:rPr>
        <w:t>I</w:t>
      </w:r>
      <w:r>
        <w:rPr>
          <w:rStyle w:val="CharStyle11"/>
        </w:rPr>
        <w:t xml:space="preserve">те/ме.» установлено,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Таким образом, правила описания объекта закупки определены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ФЗ «О контрактной сис</w:t>
      </w:r>
      <w:r>
        <w:rPr>
          <w:rStyle w:val="CharStyle11"/>
          <w:lang w:val="en-US" w:eastAsia="en-US"/>
        </w:rPr>
        <w:t>I</w:t>
      </w:r>
      <w:r>
        <w:rPr>
          <w:rStyle w:val="CharStyle11"/>
        </w:rPr>
        <w:t>теме.».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Согласно ч. </w:t>
      </w:r>
      <w:r>
        <w:rPr>
          <w:rStyle w:val="CharStyle11"/>
          <w:lang w:val="en-US" w:eastAsia="en-US"/>
        </w:rPr>
        <w:t xml:space="preserve">1.1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ФЗ «О контрактной сис</w:t>
      </w:r>
      <w:r>
        <w:rPr>
          <w:rStyle w:val="CharStyle11"/>
          <w:lang w:val="en-US" w:eastAsia="en-US"/>
        </w:rPr>
        <w:t>I</w:t>
      </w:r>
      <w:r>
        <w:rPr>
          <w:rStyle w:val="CharStyle11"/>
        </w:rPr>
        <w:t xml:space="preserve">теме.»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соответствии с 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ФЗ «О контрактной сис</w:t>
      </w:r>
      <w:r>
        <w:rPr>
          <w:rStyle w:val="CharStyle11"/>
          <w:lang w:val="en-US" w:eastAsia="en-US"/>
        </w:rPr>
        <w:t>I</w:t>
      </w:r>
      <w:r>
        <w:rPr>
          <w:rStyle w:val="CharStyle11"/>
        </w:rPr>
        <w:t xml:space="preserve">теме.» описание объекта закупки в соответствии с требованиями, указанными в 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Согласно извещению об осуществлении закупки </w:t>
      </w:r>
      <w:r>
        <w:rPr>
          <w:rStyle w:val="CharStyle11"/>
          <w:lang w:val="en-US" w:eastAsia="en-US"/>
        </w:rPr>
        <w:t xml:space="preserve">№ 0744200000225006983 </w:t>
      </w:r>
      <w:r>
        <w:rPr>
          <w:rStyle w:val="CharStyle11"/>
        </w:rPr>
        <w:t xml:space="preserve">объектом закупки является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поставка медицинских изделий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степлеров циркулярных внутрипросветных, одноразового использования (код КТРУ </w:t>
      </w:r>
      <w:r>
        <w:rPr>
          <w:rStyle w:val="CharStyle11"/>
          <w:lang w:val="en-US" w:eastAsia="en-US"/>
        </w:rPr>
        <w:t>32.50.13.190-00007432).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связи с отсутствием характеристик товара в КТРУ по позиции </w:t>
      </w:r>
      <w:r>
        <w:rPr>
          <w:rStyle w:val="CharStyle11"/>
          <w:lang w:val="en-US" w:eastAsia="en-US"/>
        </w:rPr>
        <w:t>32.50.13.190-00007432,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заказчик должен осуществлять описание товара, работы, услуги в соответствии с требованиями 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соответствии с Постановлением Правительства РФ от </w:t>
      </w:r>
      <w:r>
        <w:rPr>
          <w:rStyle w:val="CharStyle11"/>
          <w:lang w:val="en-US" w:eastAsia="en-US"/>
        </w:rPr>
        <w:t xml:space="preserve">23.12.2024 № 1875 </w:t>
      </w:r>
      <w:r>
        <w:rPr>
          <w:rStyle w:val="CharStyle11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заказчиком установлено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При этом, на основании пп. «а» п.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Постановления Правительства РФ от </w:t>
      </w:r>
      <w:r>
        <w:rPr>
          <w:rStyle w:val="CharStyle11"/>
          <w:lang w:val="en-US" w:eastAsia="en-US"/>
        </w:rPr>
        <w:t xml:space="preserve">23.12.2024 № 1875 </w:t>
      </w:r>
      <w:r>
        <w:rPr>
          <w:rStyle w:val="CharStyle11"/>
        </w:rPr>
        <w:t>заказчик продекларировал в извещении об осуществлении закупки факт отсутствия на территории Российской Федерации производства такого товара с характеристиками, соответствующими потребности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В связи с изложенным, заказчик указал в описании объекта закупки характеристики товара, потребность в котором имеется у заказчика и производство которого на территории Российской Федерации отсутствует.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Как следует из содержания жалобы, существует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производителя закупаемого товара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степлер циркулярный внутрипросветный, одноразового использования, которые соответствуют установленной заказчиком характеристике товара «Шов 3-х рядный, в шахматном порядке»: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7" w:val="left"/>
        </w:tabs>
        <w:bidi w:val="0"/>
        <w:spacing w:before="0" w:after="0" w:line="240" w:lineRule="auto"/>
        <w:ind w:left="720" w:right="0" w:hanging="320"/>
        <w:jc w:val="both"/>
      </w:pPr>
      <w:r>
        <w:rPr>
          <w:rStyle w:val="CharStyle11"/>
        </w:rPr>
        <w:t xml:space="preserve">Циркулярный степлер </w:t>
      </w:r>
      <w:r>
        <w:rPr>
          <w:rStyle w:val="CharStyle11"/>
          <w:lang w:val="en-US" w:eastAsia="en-US"/>
        </w:rPr>
        <w:t xml:space="preserve">EEA c </w:t>
      </w:r>
      <w:r>
        <w:rPr>
          <w:rStyle w:val="CharStyle11"/>
        </w:rPr>
        <w:t xml:space="preserve">применением технологии </w:t>
      </w:r>
      <w:r>
        <w:rPr>
          <w:rStyle w:val="CharStyle11"/>
          <w:lang w:val="en-US" w:eastAsia="en-US"/>
        </w:rPr>
        <w:t xml:space="preserve">Tri-Staple, </w:t>
      </w:r>
      <w:r>
        <w:rPr>
          <w:rStyle w:val="CharStyle11"/>
        </w:rPr>
        <w:t xml:space="preserve">регистрационное удостоверение РЗН </w:t>
      </w:r>
      <w:r>
        <w:rPr>
          <w:rStyle w:val="CharStyle11"/>
          <w:lang w:val="en-US" w:eastAsia="en-US"/>
        </w:rPr>
        <w:t xml:space="preserve">2019/8355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26.06.2023, </w:t>
      </w:r>
      <w:r>
        <w:rPr>
          <w:rStyle w:val="CharStyle11"/>
        </w:rPr>
        <w:t>производитель "Ковидиен ЛЛС", США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7" w:val="left"/>
        </w:tabs>
        <w:bidi w:val="0"/>
        <w:spacing w:before="0" w:after="0" w:line="240" w:lineRule="auto"/>
        <w:ind w:left="720" w:right="0" w:hanging="320"/>
        <w:jc w:val="both"/>
      </w:pPr>
      <w:r>
        <w:rPr>
          <w:rStyle w:val="CharStyle11"/>
        </w:rPr>
        <w:t xml:space="preserve">Степлер циркулярный одноразовый </w:t>
      </w:r>
      <w:r>
        <w:rPr>
          <w:rStyle w:val="CharStyle11"/>
          <w:lang w:val="en-US" w:eastAsia="en-US"/>
        </w:rPr>
        <w:t xml:space="preserve">MIRUS c </w:t>
      </w:r>
      <w:r>
        <w:rPr>
          <w:rStyle w:val="CharStyle11"/>
        </w:rPr>
        <w:t xml:space="preserve">набором скоб, регистрационное удостоверение РЗН </w:t>
      </w:r>
      <w:r>
        <w:rPr>
          <w:rStyle w:val="CharStyle11"/>
          <w:lang w:val="en-US" w:eastAsia="en-US"/>
        </w:rPr>
        <w:t xml:space="preserve">2018/6993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16.07.2024, </w:t>
      </w:r>
      <w:r>
        <w:rPr>
          <w:rStyle w:val="CharStyle11"/>
        </w:rPr>
        <w:t>производитель "Мэрил Эндо Сёрджери Пвт. Лтд."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При этом установленной заказчиком характеристике «Материал скобок: МРТ-совместимый титановый сплав» не соответствует ни один из них.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Представители заказчика пояснили, что в извещении об осуществлении закупки установлены все характеристики закупаемого товара, которые отвечают его потребностям и необходимы для выполнения соответствующих функций медицинского учреждения. При этом, настаивают, что товары (и Циркулярный степлер </w:t>
      </w:r>
      <w:r>
        <w:rPr>
          <w:rStyle w:val="CharStyle11"/>
          <w:lang w:val="en-US" w:eastAsia="en-US"/>
        </w:rPr>
        <w:t xml:space="preserve">EEA c </w:t>
      </w:r>
      <w:r>
        <w:rPr>
          <w:rStyle w:val="CharStyle11"/>
        </w:rPr>
        <w:t xml:space="preserve">применением технологии </w:t>
      </w:r>
      <w:r>
        <w:rPr>
          <w:rStyle w:val="CharStyle11"/>
          <w:lang w:val="en-US" w:eastAsia="en-US"/>
        </w:rPr>
        <w:t xml:space="preserve">Tri-Staple, </w:t>
      </w:r>
      <w:r>
        <w:rPr>
          <w:rStyle w:val="CharStyle11"/>
        </w:rPr>
        <w:t xml:space="preserve">регистрационное удостоверение РЗН </w:t>
      </w:r>
      <w:r>
        <w:rPr>
          <w:rStyle w:val="CharStyle11"/>
          <w:lang w:val="en-US" w:eastAsia="en-US"/>
        </w:rPr>
        <w:t xml:space="preserve">2019/8355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26.06.2023, </w:t>
      </w:r>
      <w:r>
        <w:rPr>
          <w:rStyle w:val="CharStyle11"/>
        </w:rPr>
        <w:t xml:space="preserve">производитель "Ковидиен ЛЛС", США; и Степлер циркулярный одноразовый </w:t>
      </w:r>
      <w:r>
        <w:rPr>
          <w:rStyle w:val="CharStyle11"/>
          <w:lang w:val="en-US" w:eastAsia="en-US"/>
        </w:rPr>
        <w:t xml:space="preserve">MIRUS c </w:t>
      </w:r>
      <w:r>
        <w:rPr>
          <w:rStyle w:val="CharStyle11"/>
        </w:rPr>
        <w:t xml:space="preserve">набором скоб, регистрационное удостоверение РЗН </w:t>
      </w:r>
      <w:r>
        <w:rPr>
          <w:rStyle w:val="CharStyle11"/>
          <w:lang w:val="en-US" w:eastAsia="en-US"/>
        </w:rPr>
        <w:t xml:space="preserve">2018/6993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16.07.2024, </w:t>
      </w:r>
      <w:r>
        <w:rPr>
          <w:rStyle w:val="CharStyle11"/>
        </w:rPr>
        <w:t>производитель "Мэрил Эндо Сёрджери Пвт. Лтд.") соответствуют описанию объекта закупки, в том числе по характеристике «Материал скобок: МРТ- совместимый титановый сплав», т.к. при изготовлении скоб в качестве медицинских изделий понятия «титан» и «титановый сплав» являются равнозначными.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Так, в инструкции на медицинское изделие Циркулярный степлер </w:t>
      </w:r>
      <w:r>
        <w:rPr>
          <w:rStyle w:val="CharStyle11"/>
          <w:lang w:val="en-US" w:eastAsia="en-US"/>
        </w:rPr>
        <w:t xml:space="preserve">EEA c </w:t>
      </w:r>
      <w:r>
        <w:rPr>
          <w:rStyle w:val="CharStyle11"/>
        </w:rPr>
        <w:t xml:space="preserve">применением технологии </w:t>
      </w:r>
      <w:r>
        <w:rPr>
          <w:rStyle w:val="CharStyle11"/>
          <w:lang w:val="en-US" w:eastAsia="en-US"/>
        </w:rPr>
        <w:t xml:space="preserve">Tri-Staple, </w:t>
      </w:r>
      <w:r>
        <w:rPr>
          <w:rStyle w:val="CharStyle11"/>
        </w:rPr>
        <w:t xml:space="preserve">регистрационное удостоверение РЗН </w:t>
      </w:r>
      <w:r>
        <w:rPr>
          <w:rStyle w:val="CharStyle11"/>
          <w:lang w:val="en-US" w:eastAsia="en-US"/>
        </w:rPr>
        <w:t xml:space="preserve">2019/8355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26.06.2023, </w:t>
      </w:r>
      <w:r>
        <w:rPr>
          <w:rStyle w:val="CharStyle11"/>
        </w:rPr>
        <w:t xml:space="preserve">производитель "Ковидиен ЛЛС", США в п. </w:t>
      </w:r>
      <w:r>
        <w:rPr>
          <w:rStyle w:val="CharStyle11"/>
          <w:lang w:val="en-US" w:eastAsia="en-US"/>
        </w:rPr>
        <w:t xml:space="preserve">27 </w:t>
      </w:r>
      <w:r>
        <w:rPr>
          <w:rStyle w:val="CharStyle11"/>
        </w:rPr>
        <w:t xml:space="preserve">указано, что «Титановые скобки в данном устройстве являются неферромагнитными и после имплантации могут подвергаться процедурам МРТ и/или ЯМР при индукции магнитного поля не более </w:t>
      </w:r>
      <w:r>
        <w:rPr>
          <w:rStyle w:val="CharStyle11"/>
          <w:lang w:val="en-US" w:eastAsia="en-US"/>
        </w:rPr>
        <w:t xml:space="preserve">3,0 </w:t>
      </w:r>
      <w:r>
        <w:rPr>
          <w:rStyle w:val="CharStyle11"/>
        </w:rPr>
        <w:t>Тп».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инструкции на медицинское изделие Степлер циркулярный одноразовый </w:t>
      </w:r>
      <w:r>
        <w:rPr>
          <w:rStyle w:val="CharStyle11"/>
          <w:lang w:val="en-US" w:eastAsia="en-US"/>
        </w:rPr>
        <w:t xml:space="preserve">MIRUS c </w:t>
      </w:r>
      <w:r>
        <w:rPr>
          <w:rStyle w:val="CharStyle11"/>
        </w:rPr>
        <w:t xml:space="preserve">набором скоб, регистрационное удостоверение РЗН </w:t>
      </w:r>
      <w:r>
        <w:rPr>
          <w:rStyle w:val="CharStyle11"/>
          <w:lang w:val="en-US" w:eastAsia="en-US"/>
        </w:rPr>
        <w:t xml:space="preserve">2018/6993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16.07.2024, </w:t>
      </w:r>
      <w:r>
        <w:rPr>
          <w:rStyle w:val="CharStyle11"/>
        </w:rPr>
        <w:t xml:space="preserve">производитель "Мэрил Эндо Сёрджери Пвт. Лтд." в таблице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указано, что материалом, из которого изготавливаются скобы является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«Титан (марка: </w:t>
      </w:r>
      <w:r>
        <w:rPr>
          <w:rStyle w:val="CharStyle11"/>
          <w:lang w:val="en-US" w:eastAsia="en-US"/>
        </w:rPr>
        <w:t>Grade2)».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Согласно Национальному стандарту Российской Федерации ГОСТ Р ИСО </w:t>
      </w:r>
      <w:r>
        <w:rPr>
          <w:rStyle w:val="CharStyle11"/>
          <w:lang w:val="en-US" w:eastAsia="en-US"/>
        </w:rPr>
        <w:t xml:space="preserve">5832-2-2020 </w:t>
      </w:r>
      <w:r>
        <w:rPr>
          <w:rStyle w:val="CharStyle11"/>
        </w:rPr>
        <w:t xml:space="preserve">«Имплантаты для хирургии. Металлические материалы. Часть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Нелегированный титан», устанавливающего характеристики и соответствующие методы испытаний для нелегированного титана, предназначенного для производства хирургических имплантатов в зависимости от химического состава, </w:t>
      </w:r>
      <w:r>
        <w:rPr>
          <w:rStyle w:val="CharStyle11"/>
          <w:u w:val="single"/>
        </w:rPr>
        <w:t xml:space="preserve">определены </w:t>
      </w:r>
      <w:r>
        <w:rPr>
          <w:rStyle w:val="CharStyle11"/>
          <w:u w:val="single"/>
          <w:lang w:val="en-US" w:eastAsia="en-US"/>
        </w:rPr>
        <w:t xml:space="preserve">5 </w:t>
      </w:r>
      <w:r>
        <w:rPr>
          <w:rStyle w:val="CharStyle11"/>
          <w:u w:val="single"/>
        </w:rPr>
        <w:t>видов титановых сплавов</w:t>
      </w:r>
      <w:r>
        <w:rPr>
          <w:rStyle w:val="CharStyle11"/>
        </w:rPr>
        <w:t>, используемых для изготовления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медицинских изделий: </w:t>
      </w:r>
      <w:r>
        <w:rPr>
          <w:rStyle w:val="CharStyle11"/>
          <w:lang w:val="en-US" w:eastAsia="en-US"/>
        </w:rPr>
        <w:t xml:space="preserve">Grade 1 ELI, Grade 1, </w:t>
      </w:r>
      <w:r>
        <w:rPr>
          <w:rStyle w:val="CharStyle11"/>
          <w:u w:val="single"/>
          <w:lang w:val="en-US" w:eastAsia="en-US"/>
        </w:rPr>
        <w:t>Grade 2</w:t>
      </w:r>
      <w:r>
        <w:rPr>
          <w:rStyle w:val="CharStyle11"/>
          <w:lang w:val="en-US" w:eastAsia="en-US"/>
        </w:rPr>
        <w:t xml:space="preserve">, Grade 3, Grade </w:t>
      </w:r>
      <w:r>
        <w:rPr>
          <w:rStyle w:val="CharStyle11"/>
        </w:rPr>
        <w:t xml:space="preserve">4А и 4В (таблица </w:t>
      </w:r>
      <w:r>
        <w:rPr>
          <w:rStyle w:val="CharStyle11"/>
          <w:lang w:val="en-US" w:eastAsia="en-US"/>
        </w:rPr>
        <w:t xml:space="preserve">1), </w:t>
      </w:r>
      <w:r>
        <w:rPr>
          <w:rStyle w:val="CharStyle11"/>
        </w:rPr>
        <w:t xml:space="preserve">что свидетельствует о том, что применяемый при изготовлении скоб материал «Титан (марка: </w:t>
      </w:r>
      <w:r>
        <w:rPr>
          <w:rStyle w:val="CharStyle11"/>
          <w:lang w:val="en-US" w:eastAsia="en-US"/>
        </w:rPr>
        <w:t xml:space="preserve">Grade2)» </w:t>
      </w:r>
      <w:r>
        <w:rPr>
          <w:rStyle w:val="CharStyle11"/>
        </w:rPr>
        <w:t xml:space="preserve">является по своей сути титановым сплавом. Сведений о применении чистого титана как отдельно взятого материала (т.е. не титанового сплава), используемого для изготовления хирургических имплантатов, в ГОСТ Р ИСО </w:t>
      </w:r>
      <w:r>
        <w:rPr>
          <w:rStyle w:val="CharStyle11"/>
          <w:lang w:val="en-US" w:eastAsia="en-US"/>
        </w:rPr>
        <w:t xml:space="preserve">5832-2-2020 </w:t>
      </w:r>
      <w:r>
        <w:rPr>
          <w:rStyle w:val="CharStyle11"/>
        </w:rPr>
        <w:t>не содержится.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Актуальные сведения в отношении медицинских изделий, разрешенных к обращению на территории Российской Федерации, отражены в инструкциях по применению медицинских изделий, содержащихся в реестре медицинских изделий и организаций (индивидуальных предпринимателей), осуществляющих производство и изготовление медицинских изделий Росздравнадзора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реестр). Таким образом, при необходимости сведения, представленные в заявках участников, следует сверять с приведенными в реестре сведениями. При этом комиссия по осуществлению закупок самостоятельно принимает решение о допуске или об отклонении заявок, руководствуясь извещением об осуществлении закупки и Законом о контрактной системе. Однако в случае отсутствия отдельных характеристик закупаемого медицинского изделия в эксплуатационной документации, размещенной на сайте Росздравнадзора, подтверждением соответствия таких характеристик описанию объекта закупки могут являться инструкции и документы на медицинское изделие, полученные любым иным способом, актуальность и достоверность которых могут быть перепроверены в том числе при исполнении контрольных функций (данная позиция отражена в письме ФАС России от </w:t>
      </w:r>
      <w:r>
        <w:rPr>
          <w:rStyle w:val="CharStyle11"/>
          <w:lang w:val="en-US" w:eastAsia="en-US"/>
        </w:rPr>
        <w:t xml:space="preserve">26.05.2025 № </w:t>
      </w:r>
      <w:r>
        <w:rPr>
          <w:rStyle w:val="CharStyle11"/>
        </w:rPr>
        <w:t>ГР/48883/25).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На основании письма ФАС России от </w:t>
      </w:r>
      <w:r>
        <w:rPr>
          <w:rStyle w:val="CharStyle11"/>
          <w:lang w:val="en-US" w:eastAsia="en-US"/>
        </w:rPr>
        <w:t xml:space="preserve">26.05.2025 № </w:t>
      </w:r>
      <w:r>
        <w:rPr>
          <w:rStyle w:val="CharStyle11"/>
        </w:rPr>
        <w:t xml:space="preserve">ГР/48883/25, заказчик направил в адрес уполномоченного представителя на территории РФ производителя медицинских изделий "Мэрил Эндо Сёрджери Пвт. Лтд." запрос о соответствии товара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Степлер циркулярный одноразовый </w:t>
      </w:r>
      <w:r>
        <w:rPr>
          <w:rStyle w:val="CharStyle11"/>
          <w:lang w:val="en-US" w:eastAsia="en-US"/>
        </w:rPr>
        <w:t xml:space="preserve">MIRUS c </w:t>
      </w:r>
      <w:r>
        <w:rPr>
          <w:rStyle w:val="CharStyle11"/>
        </w:rPr>
        <w:t xml:space="preserve">набором скоб, регистрационное удостоверение РЗН </w:t>
      </w:r>
      <w:r>
        <w:rPr>
          <w:rStyle w:val="CharStyle11"/>
          <w:lang w:val="en-US" w:eastAsia="en-US"/>
        </w:rPr>
        <w:t xml:space="preserve">2018/6993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16.07.2024 </w:t>
      </w:r>
      <w:r>
        <w:rPr>
          <w:rStyle w:val="CharStyle11"/>
        </w:rPr>
        <w:t>характеристикам, установленным заказчиком при описании объекта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письме от </w:t>
      </w:r>
      <w:r>
        <w:rPr>
          <w:rStyle w:val="CharStyle11"/>
          <w:lang w:val="en-US" w:eastAsia="en-US"/>
        </w:rPr>
        <w:t xml:space="preserve">25.08.2025 </w:t>
      </w:r>
      <w:r>
        <w:rPr>
          <w:rStyle w:val="CharStyle11"/>
        </w:rPr>
        <w:t xml:space="preserve">исх. </w:t>
      </w:r>
      <w:r>
        <w:rPr>
          <w:rStyle w:val="CharStyle11"/>
          <w:lang w:val="en-US" w:eastAsia="en-US"/>
        </w:rPr>
        <w:t xml:space="preserve">№ 120 </w:t>
      </w:r>
      <w:r>
        <w:rPr>
          <w:rStyle w:val="CharStyle11"/>
        </w:rPr>
        <w:t xml:space="preserve">уполномоченный представитель на территории РФ производителя медицинских изделий "Мэрил Эндо Сёрджери Пвт. Лтд." подтвердил соответствие товара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Степлер циркулярный одноразовый </w:t>
      </w:r>
      <w:r>
        <w:rPr>
          <w:rStyle w:val="CharStyle11"/>
          <w:lang w:val="en-US" w:eastAsia="en-US"/>
        </w:rPr>
        <w:t xml:space="preserve">MIRUS c </w:t>
      </w:r>
      <w:r>
        <w:rPr>
          <w:rStyle w:val="CharStyle11"/>
        </w:rPr>
        <w:t xml:space="preserve">набором скоб, регистрационное удостоверение РЗН </w:t>
      </w:r>
      <w:r>
        <w:rPr>
          <w:rStyle w:val="CharStyle11"/>
          <w:lang w:val="en-US" w:eastAsia="en-US"/>
        </w:rPr>
        <w:t xml:space="preserve">2018/6993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16.07.2024 </w:t>
      </w:r>
      <w:r>
        <w:rPr>
          <w:rStyle w:val="CharStyle11"/>
        </w:rPr>
        <w:t xml:space="preserve">характеристикам, установленным заказчиком при описании объекта закупки и указал что, </w:t>
      </w:r>
      <w:r>
        <w:rPr>
          <w:rStyle w:val="CharStyle11"/>
          <w:lang w:val="en-US" w:eastAsia="en-US"/>
        </w:rPr>
        <w:t xml:space="preserve">«Grade 2 </w:t>
      </w:r>
      <w:r>
        <w:rPr>
          <w:rStyle w:val="CharStyle11"/>
        </w:rPr>
        <w:t>является МРТ совместимым титановым сплавом».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Кроме того, уполномоченный представитель на территории РФ производителя медицинских изделий "Мэрил Эндо Сёрджери Пвт. Лтд." в письме от </w:t>
      </w:r>
      <w:r>
        <w:rPr>
          <w:rStyle w:val="CharStyle11"/>
          <w:lang w:val="en-US" w:eastAsia="en-US"/>
        </w:rPr>
        <w:t xml:space="preserve">25.08.2025 </w:t>
      </w:r>
      <w:r>
        <w:rPr>
          <w:rStyle w:val="CharStyle11"/>
        </w:rPr>
        <w:t xml:space="preserve">исх. </w:t>
      </w:r>
      <w:r>
        <w:rPr>
          <w:rStyle w:val="CharStyle11"/>
          <w:lang w:val="en-US" w:eastAsia="en-US"/>
        </w:rPr>
        <w:t xml:space="preserve">№ 120 </w:t>
      </w:r>
      <w:r>
        <w:rPr>
          <w:rStyle w:val="CharStyle11"/>
        </w:rPr>
        <w:t xml:space="preserve">так сообщил следующее: </w:t>
      </w:r>
      <w:r>
        <w:rPr>
          <w:rStyle w:val="CharStyle11"/>
          <w:i/>
          <w:iCs/>
        </w:rPr>
        <w:t xml:space="preserve">«В металлургии и материаловедении термин «сплав» не всегда подразумевает сложную смесь множества элементов. Чистый титан коммерческой чистоты </w:t>
      </w:r>
      <w:r>
        <w:rPr>
          <w:rStyle w:val="CharStyle11"/>
          <w:i/>
          <w:iCs/>
          <w:lang w:val="en-US" w:eastAsia="en-US"/>
        </w:rPr>
        <w:t xml:space="preserve">(CP Ti), </w:t>
      </w:r>
      <w:r>
        <w:rPr>
          <w:rStyle w:val="CharStyle11"/>
          <w:i/>
          <w:iCs/>
        </w:rPr>
        <w:t xml:space="preserve">к которому относится </w:t>
      </w:r>
      <w:r>
        <w:rPr>
          <w:rStyle w:val="CharStyle11"/>
          <w:i/>
          <w:iCs/>
          <w:lang w:val="en-US" w:eastAsia="en-US"/>
        </w:rPr>
        <w:t xml:space="preserve">GRADE 2, </w:t>
      </w:r>
      <w:r>
        <w:rPr>
          <w:rStyle w:val="CharStyle11"/>
          <w:i/>
          <w:iCs/>
        </w:rPr>
        <w:t>классифицируется как сплав, поскольку содержит небольшое, но строго регламентированное количество примесей (таких как кислород, азот, углерод, железо), которые целенаправленно влияют на его механические свойства. Без этих элементов получение изделий с заданной прочностью, пластичностью и биосовместимостью было бы невозможно.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 xml:space="preserve">Классификация по ГОСТ и </w:t>
      </w:r>
      <w:r>
        <w:rPr>
          <w:rStyle w:val="CharStyle11"/>
          <w:i/>
          <w:iCs/>
          <w:lang w:val="en-US" w:eastAsia="en-US"/>
        </w:rPr>
        <w:t xml:space="preserve">ISO: </w:t>
      </w:r>
      <w:r>
        <w:rPr>
          <w:rStyle w:val="CharStyle11"/>
          <w:i/>
          <w:iCs/>
        </w:rPr>
        <w:t xml:space="preserve">согласно международным стандартам </w:t>
      </w:r>
      <w:r>
        <w:rPr>
          <w:rStyle w:val="CharStyle11"/>
          <w:i/>
          <w:iCs/>
          <w:lang w:val="en-US" w:eastAsia="en-US"/>
        </w:rPr>
        <w:t xml:space="preserve">(ISO 5832-2 </w:t>
      </w:r>
      <w:r>
        <w:rPr>
          <w:rStyle w:val="CharStyle11"/>
          <w:i/>
          <w:iCs/>
        </w:rPr>
        <w:t xml:space="preserve">«Имплантаты для хирургии. Металлические материалы. Чистый титан») и российскому ГОСТР ИСО </w:t>
      </w:r>
      <w:r>
        <w:rPr>
          <w:rStyle w:val="CharStyle11"/>
          <w:i/>
          <w:iCs/>
          <w:lang w:val="en-US" w:eastAsia="en-US"/>
        </w:rPr>
        <w:t xml:space="preserve">5832-2, </w:t>
      </w:r>
      <w:r>
        <w:rPr>
          <w:rStyle w:val="CharStyle11"/>
          <w:i/>
          <w:iCs/>
        </w:rPr>
        <w:t xml:space="preserve">материал «Чистый титан» разделяется на четыре класса </w:t>
      </w:r>
      <w:r>
        <w:rPr>
          <w:rStyle w:val="CharStyle11"/>
          <w:i/>
          <w:iCs/>
          <w:lang w:val="en-US" w:eastAsia="en-US"/>
        </w:rPr>
        <w:t xml:space="preserve">(GRADE 1-4) </w:t>
      </w:r>
      <w:r>
        <w:rPr>
          <w:rStyle w:val="CharStyle11"/>
          <w:i/>
          <w:iCs/>
        </w:rPr>
        <w:t>в зависимости от содержания примесей и механических свойств. Все они определяются как сплавы на основе титана.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 xml:space="preserve">Таким образом, указание в инструкции материала «титан </w:t>
      </w:r>
      <w:r>
        <w:rPr>
          <w:rStyle w:val="CharStyle11"/>
          <w:i/>
          <w:iCs/>
          <w:lang w:val="en-US" w:eastAsia="en-US"/>
        </w:rPr>
        <w:t xml:space="preserve">GRADE 2» </w:t>
      </w:r>
      <w:r>
        <w:rPr>
          <w:rStyle w:val="CharStyle11"/>
          <w:i/>
          <w:iCs/>
        </w:rPr>
        <w:t>является абсолютно корректным и соответствует всем международным и российским стандартам».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Заявитель на заседание Комиссии явку представителя (-ей) не обеспечил (по системе видеоконференцсвязи посредством плагина </w:t>
      </w:r>
      <w:r>
        <w:rPr>
          <w:rStyle w:val="CharStyle11"/>
          <w:lang w:val="en-US" w:eastAsia="en-US"/>
        </w:rPr>
        <w:t xml:space="preserve">TrueConf </w:t>
      </w:r>
      <w:r>
        <w:rPr>
          <w:rStyle w:val="CharStyle11"/>
        </w:rPr>
        <w:t>подключение не осуществил), в материалы дела не предоставил документов и сведений, свидетельствующих о невозможности принять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Учитывая изложенное, довод жалобы не нашел подтверждения материалами дела.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По результатам внеплановой проверки Комиссией Курского УФАС России на данном этапе определения поставщика (подрядчика, исполнителя) в действиях (бездействии) субъектов контроля иных нарушений ФЗ «О контрактной системе</w:t>
      </w:r>
      <w:r>
        <w:rPr>
          <w:rStyle w:val="CharStyle11"/>
          <w:lang w:val="en-US" w:eastAsia="en-US"/>
        </w:rPr>
        <w:t xml:space="preserve">...» </w:t>
      </w:r>
      <w:r>
        <w:rPr>
          <w:rStyle w:val="CharStyle11"/>
        </w:rPr>
        <w:t>не выявлено.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</w:t>
      </w:r>
      <w:r>
        <w:rPr>
          <w:rStyle w:val="CharStyle11"/>
        </w:rPr>
        <w:t>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1"/>
          <w:b/>
          <w:bCs/>
          <w:sz w:val="22"/>
          <w:szCs w:val="22"/>
        </w:rPr>
        <w:t>РЕШИЛ</w:t>
      </w:r>
      <w:r>
        <w:rPr>
          <w:rStyle w:val="CharStyle11"/>
          <w:b/>
          <w:bCs/>
          <w:sz w:val="22"/>
          <w:szCs w:val="22"/>
          <w:lang w:val="en-US" w:eastAsia="en-US"/>
        </w:rPr>
        <w:t>]</w:t>
      </w:r>
      <w:r>
        <w:rPr>
          <w:rStyle w:val="CharStyle11"/>
          <w:b/>
          <w:bCs/>
          <w:sz w:val="22"/>
          <w:szCs w:val="22"/>
        </w:rPr>
        <w:t xml:space="preserve">А </w:t>
      </w:r>
      <w:r>
        <w:rPr>
          <w:rStyle w:val="CharStyle11"/>
          <w:b/>
          <w:bCs/>
          <w:sz w:val="22"/>
          <w:szCs w:val="22"/>
          <w:lang w:val="en-US" w:eastAsia="en-US"/>
        </w:rPr>
        <w:t>1 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Признать жалобу общества с ограниченной ответственностью «МЕДТЕХНИКА» необоснованной.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9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1"/>
        </w:rPr>
        <w:t xml:space="preserve">Дело </w:t>
      </w:r>
      <w:r>
        <w:rPr>
          <w:rStyle w:val="CharStyle11"/>
          <w:lang w:val="en-US" w:eastAsia="en-US"/>
        </w:rPr>
        <w:t xml:space="preserve">№046/06/42-285/2025 </w:t>
      </w:r>
      <w:r>
        <w:rPr>
          <w:rStyle w:val="CharStyle11"/>
        </w:rPr>
        <w:t>производством прекратить.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720"/>
        <w:jc w:val="both"/>
      </w:pPr>
      <w:r>
        <w:rPr>
          <w:rStyle w:val="CharStyle11"/>
          <w:i/>
          <w:iCs/>
        </w:rPr>
        <w:t>Настоящее решение может быть обжаловано в судебном порядке в течение трех месяцев со дня его принятия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0" w:right="0" w:firstLine="0"/>
        <w:jc w:val="both"/>
      </w:pP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rStyle w:val="CharStyle11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70" w:right="485" w:bottom="816" w:left="96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762000</wp:posOffset>
              </wp:positionH>
              <wp:positionV relativeFrom="page">
                <wp:posOffset>9939020</wp:posOffset>
              </wp:positionV>
              <wp:extent cx="643255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2025-3224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60.pt;margin-top:782.60000000000002pt;width:50.64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2025-3224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43255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2025-3224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775.95000000000005pt;width:50.649999999999999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2025-3224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4002405</wp:posOffset>
              </wp:positionH>
              <wp:positionV relativeFrom="page">
                <wp:posOffset>683895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15.15000000000003pt;margin-top:53.8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Body text (4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8">
    <w:name w:val="Other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Table caption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36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Body text (4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7">
    <w:name w:val="Other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Table caption"/>
    <w:basedOn w:val="Normal"/>
    <w:link w:val="CharStyle20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300"/>
      <w:ind w:firstLine="1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