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35076/25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"mailto:GKBI-zakupki.gkb15@zdrav.mos.ru" </w:instrText>
      </w:r>
      <w:r>
        <w:fldChar w:fldCharType="separate"/>
      </w:r>
      <w:r>
        <w:rPr>
          <w:rStyle w:val="CharStyle12"/>
          <w:lang w:val="en-US" w:eastAsia="en-US"/>
        </w:rPr>
        <w:t>GKBI-zakupki.gkb15@zdrav.mos.ru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309" w:bottom="584" w:left="1265" w:header="0" w:footer="3" w:gutter="0"/>
          <w:pgNumType w:start="1"/>
          <w:cols w:num="2" w:space="965"/>
          <w:noEndnote/>
          <w:rtlGutter w:val="0"/>
          <w:docGrid w:linePitch="360"/>
        </w:sectPr>
      </w:pPr>
      <w:r>
        <w:rPr>
          <w:rStyle w:val="CharStyle12"/>
        </w:rPr>
        <w:t xml:space="preserve">ООО ТД «МПП» </w:t>
      </w:r>
      <w:r>
        <w:fldChar w:fldCharType="begin"/>
      </w:r>
      <w:r>
        <w:rPr/>
        <w:instrText> HYPERLINK "mailto:zakaz@tdmpp.ru" </w:instrText>
      </w:r>
      <w:r>
        <w:fldChar w:fldCharType="separate"/>
      </w:r>
      <w:r>
        <w:rPr>
          <w:rStyle w:val="CharStyle12"/>
          <w:lang w:val="en-US" w:eastAsia="en-US"/>
        </w:rPr>
        <w:t>zakaz@tdmpp.ru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5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077/06/106-10721/2025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27.08.2025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Главного </w:t>
      </w:r>
      <w:r>
        <w:rPr>
          <w:rStyle w:val="CharStyle12"/>
          <w:lang w:val="en-US" w:eastAsia="en-US"/>
        </w:rPr>
        <w:t xml:space="preserve">cпециалиста-эксперта </w:t>
      </w:r>
      <w:r>
        <w:rPr>
          <w:rStyle w:val="CharStyle12"/>
        </w:rPr>
        <w:t>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 xml:space="preserve">ДЗМ»: А.А. Назарова (по доверенности от </w:t>
      </w:r>
      <w:r>
        <w:rPr>
          <w:rStyle w:val="CharStyle12"/>
          <w:lang w:val="en-US" w:eastAsia="en-US"/>
        </w:rPr>
        <w:t>07.07.2025 №6079),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ООО ТД «МПП»: К.М. Ширшова (по доверенности от </w:t>
      </w:r>
      <w:r>
        <w:rPr>
          <w:rStyle w:val="CharStyle12"/>
          <w:lang w:val="en-US" w:eastAsia="en-US"/>
        </w:rPr>
        <w:t>26.09.2022 №08-22),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ТД «МПП»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реанимации (Закупка </w:t>
      </w:r>
      <w:r>
        <w:rPr>
          <w:rStyle w:val="CharStyle12"/>
          <w:lang w:val="en-US" w:eastAsia="en-US"/>
        </w:rPr>
        <w:t xml:space="preserve">№0373200024425001283)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584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5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28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составе жалобы Заявитель указывает, что Заказчиком в нарушение ч.1.1 ст.33 Закона о контрактной системе сформированы неправомерные требования описания объекта закупки по п.1, </w:t>
      </w:r>
      <w:r>
        <w:rPr>
          <w:rStyle w:val="CharStyle12"/>
          <w:lang w:val="en-US" w:eastAsia="en-US"/>
        </w:rPr>
        <w:t xml:space="preserve">3, 4 </w:t>
      </w:r>
      <w:r>
        <w:rPr>
          <w:rStyle w:val="CharStyle12"/>
        </w:rPr>
        <w:t>«Соединитель для дыхательного контура, одноразового использования», которые включают в себя характеристику, соответствующую товарам исключительно иностранного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</w:t>
      </w:r>
      <w:r>
        <w:rPr>
          <w:rStyle w:val="CharStyle12"/>
          <w:color w:val="C9211E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закупаемых соединителях для дыхательного контура, одноразового использования, Заказчиком установлены преимущества в отношении товаров российского происхождения, выполняемых работ, оказываемых услуг российскими лицами, предусмотренные абз.4 п.1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 xml:space="preserve"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Ч.1.1 ст.33 Закона о контрактной системе регламентировано, что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п.1 ч.2 ст.14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описанию объекта закупки Заказчиком установлены, в частности, следующие требования к закупаемым соединителям для дыхательного контура: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п. Соединитель для дыхательного контура, одноразового использования, Идентификаторы: </w:t>
      </w:r>
      <w:r>
        <w:rPr>
          <w:rStyle w:val="CharStyle12"/>
          <w:lang w:val="en-US" w:eastAsia="en-US"/>
        </w:rPr>
        <w:t>188927334, 188927336, 188927337: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«Тип трубки соединителя: Гладкоствольный»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Заявителя уточнил, что описание закупаемого объекта по п.1, </w:t>
      </w:r>
      <w:r>
        <w:rPr>
          <w:rStyle w:val="CharStyle12"/>
          <w:lang w:val="en-US" w:eastAsia="en-US"/>
        </w:rPr>
        <w:t xml:space="preserve">3, 4 </w:t>
      </w:r>
      <w:r>
        <w:rPr>
          <w:rStyle w:val="CharStyle12"/>
        </w:rPr>
        <w:t>в части требования «Тип трубки соединителя: Гладкоствольный» не предполагает поставку товара российского происхождения, поскольку производство таких соединителей в настоящее время на территории Российской Федерации отсутствует.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подтверждении данного обстоятельства Заявитель представил письмо АО «НПП «ИНТЕРОКО» от </w:t>
      </w:r>
      <w:r>
        <w:rPr>
          <w:rStyle w:val="CharStyle12"/>
          <w:lang w:val="en-US" w:eastAsia="en-US"/>
        </w:rPr>
        <w:t xml:space="preserve">13.08.2025 №473-1/25, </w:t>
      </w:r>
      <w:r>
        <w:rPr>
          <w:rStyle w:val="CharStyle12"/>
        </w:rPr>
        <w:t xml:space="preserve">в котором указано, что медицинское изделие «Соединитель для дыхательного контура одноразового использования по ТУ </w:t>
      </w:r>
      <w:r>
        <w:rPr>
          <w:rStyle w:val="CharStyle12"/>
          <w:lang w:val="en-US" w:eastAsia="en-US"/>
        </w:rPr>
        <w:t xml:space="preserve">32.50.21-009-73064893-2021», </w:t>
      </w:r>
      <w:r>
        <w:rPr>
          <w:rStyle w:val="CharStyle12"/>
        </w:rPr>
        <w:t xml:space="preserve">соответствующее требованиям описания объекта закупки по п.1, </w:t>
      </w:r>
      <w:r>
        <w:rPr>
          <w:rStyle w:val="CharStyle12"/>
          <w:lang w:val="en-US" w:eastAsia="en-US"/>
        </w:rPr>
        <w:t xml:space="preserve">3, 4, </w:t>
      </w:r>
      <w:r>
        <w:rPr>
          <w:rStyle w:val="CharStyle12"/>
        </w:rPr>
        <w:t>на момент дачи такого ответа не производится.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что, составляя описание закупаемых соединителей, Заказчик руководствовался своими потребностями при установлении требований к товарам.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Внутренний канал трубок гладкоствольных соединителей, в отличие от гофрированных и гофрированных конфигурируемых, имеет гладкую поверхность. Внешняя поверхность, зачастую армируется по спирали для сохранения формы и препятствия перегибу во избежание риска прерывания потока газа.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Основные преимущества гладкоствольных дыхательных соединителей заключаются в следующем: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Ламинарный (прямой) поток газовой смеси, позволяющий увеличить скорость потока и уменьшить сопротивление потоку (что необходимо для использования при высокопоточных режимах вентиляции);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Существенной снижение шума при гладкоствольной стенке;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Снижение вероятности накопления жидкости на гладкой поверхности, то есть её немедленное стекание, без образования больших объёмов;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Уменьшение микробной контаминации гладкоствольной стенки, из-за снижения поверхности контура и невозможности создания колоний микроорганизмов на гладкоствольной поверхности.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этом вопреки доводам жалобы, по мнению представителя Заказчика, Заказчиком соблюдены положения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Так, представитель Заказчика пояснил, что из информации государственного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реестра медицинских изделий и организаций (индивидуальных предпринимателей), осуществляющих производство и изготовление медицинских изделий однозначно следует, что российским производителем зарегистрированы в установленном порядке требуемые товары, так, на территории Российской Федерации зарегистрирован ряд медицинских изделий российского производства, соответствующих требованиям по п.1, </w:t>
      </w:r>
      <w:r>
        <w:rPr>
          <w:rStyle w:val="CharStyle12"/>
          <w:lang w:val="en-US" w:eastAsia="en-US"/>
        </w:rPr>
        <w:t xml:space="preserve">3, 4, </w:t>
      </w:r>
      <w:r>
        <w:rPr>
          <w:rStyle w:val="CharStyle12"/>
        </w:rPr>
        <w:t xml:space="preserve">в том числе характеристике </w:t>
      </w:r>
      <w:r>
        <w:rPr>
          <w:rStyle w:val="CharStyle12"/>
          <w:i/>
          <w:iCs/>
        </w:rPr>
        <w:t>«Тип трубки соединителя: Гладкоствольный»</w:t>
      </w:r>
      <w:r>
        <w:rPr>
          <w:rStyle w:val="CharStyle12"/>
        </w:rPr>
        <w:t xml:space="preserve">, а именно: ряд вариантов исполнения медицинского изделия «Соединитель для дыхательного контура одноразового использования по ТУ </w:t>
      </w:r>
      <w:r>
        <w:rPr>
          <w:rStyle w:val="CharStyle12"/>
          <w:lang w:val="en-US" w:eastAsia="en-US"/>
        </w:rPr>
        <w:t xml:space="preserve">32.50.21-009-73064893-2021», </w:t>
      </w:r>
      <w:r>
        <w:rPr>
          <w:rStyle w:val="CharStyle12"/>
        </w:rPr>
        <w:t xml:space="preserve">например вариант исполнения </w:t>
      </w:r>
      <w:r>
        <w:rPr>
          <w:rStyle w:val="CharStyle12"/>
          <w:lang w:val="en-US" w:eastAsia="en-US"/>
        </w:rPr>
        <w:t xml:space="preserve">№82-102, </w:t>
      </w:r>
      <w:r>
        <w:rPr>
          <w:rStyle w:val="CharStyle12"/>
        </w:rPr>
        <w:t xml:space="preserve">производства АО «НПП «ИНТЕРОКО» регистрационного удостоверения №РЗН </w:t>
      </w:r>
      <w:r>
        <w:rPr>
          <w:rStyle w:val="CharStyle12"/>
          <w:lang w:val="en-US" w:eastAsia="en-US"/>
        </w:rPr>
        <w:t xml:space="preserve">2024/21974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09.02.2024, </w:t>
      </w:r>
      <w:r>
        <w:rPr>
          <w:rStyle w:val="CharStyle12"/>
        </w:rPr>
        <w:t>страной происхождения которого является Российская Федерация.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Резюмируя вышеизложенное, представитель Заказчика полагает, что указание оспариваемого требования не противоречит положениям ч.1.1 ст.33 Закону о контрактной системе, в том числе с учетом того обстоятельства, что Заявитель также не отрицает факт соответствия продукции АО «НПП «ИНТЕРОКО» требованиям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Вместе с тем Комиссией Управления также считает необходимым отметить, что Заявителем не доказан тот факт, что соответствующий по п.1, </w:t>
      </w:r>
      <w:r>
        <w:rPr>
          <w:rStyle w:val="CharStyle12"/>
          <w:lang w:val="en-US" w:eastAsia="en-US"/>
        </w:rPr>
        <w:t xml:space="preserve">3, 4 </w:t>
      </w:r>
      <w:r>
        <w:rPr>
          <w:rStyle w:val="CharStyle12"/>
        </w:rPr>
        <w:t>российский товар АО «НПП ИНТЕРОКО» не находится в обороте на товарном рынке и не может быть предложен участниками закупки в случае наличия на складах еще нереализованного такого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также считает необходимым обратить внимание сторон, что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Заявителем не представлено доказательств того обстоятельства, что содержащиеся в описании объекта закупки требования являются непреодолимыми для участия в закупки, а также каким-либо иным образом повлекло за собой невозможность формирования предложения для участия в закупочной процедуре.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Ввиду вышеизложенного у Комиссии Управления отсутствуют правовые основания для признания Заказчика нарушившим положения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Признать жалобу ООО ТД «МПП» на действия 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>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6" w:val="left"/>
        </w:tabs>
        <w:bidi w:val="0"/>
        <w:spacing w:before="0" w:after="240" w:line="240" w:lineRule="auto"/>
        <w:ind w:left="0" w:right="0" w:firstLine="64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43" w:right="541" w:bottom="1133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0995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26.pt;width:145.20000000000002pt;height:19.699999999999999pt;z-index:-125829375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6255" simplePos="0" relativeHeight="125829380" behindDoc="0" locked="0" layoutInCell="1" allowOverlap="1">
            <wp:simplePos x="0" y="0"/>
            <wp:positionH relativeFrom="page">
              <wp:posOffset>3042920</wp:posOffset>
            </wp:positionH>
            <wp:positionV relativeFrom="paragraph">
              <wp:posOffset>367030</wp:posOffset>
            </wp:positionV>
            <wp:extent cx="389890" cy="55499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3536950</wp:posOffset>
                </wp:positionH>
                <wp:positionV relativeFrom="paragraph">
                  <wp:posOffset>805815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8.5pt;margin-top:63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3496945</wp:posOffset>
                </wp:positionH>
                <wp:positionV relativeFrom="paragraph">
                  <wp:posOffset>488950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5.35000000000002pt;margin-top:38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0995" distL="0" distR="0" simplePos="0" relativeHeight="125829381" behindDoc="0" locked="0" layoutInCell="1" allowOverlap="1">
                <wp:simplePos x="0" y="0"/>
                <wp:positionH relativeFrom="page">
                  <wp:posOffset>6075680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40000000000003pt;margin-top:26.pt;width:89.5pt;height:19.699999999999999pt;z-index:-125829372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92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3076575</wp:posOffset>
            </wp:positionH>
            <wp:positionV relativeFrom="paragraph">
              <wp:posOffset>25400</wp:posOffset>
            </wp:positionV>
            <wp:extent cx="359410" cy="52451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3536950</wp:posOffset>
                </wp:positionH>
                <wp:positionV relativeFrom="paragraph">
                  <wp:posOffset>430530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8.5pt;margin-top:33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3496945</wp:posOffset>
                </wp:positionH>
                <wp:positionV relativeFrom="paragraph">
                  <wp:posOffset>113665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5.35000000000002pt;margin-top:8.950000000000001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Е.Д. Мартьянова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009EC19D0AD083DC593EE489E44F6A415</w:t>
      </w:r>
      <w:r>
        <w:rPr>
          <w:rStyle w:val="CharStyle22"/>
          <w:lang w:val="en-US" w:eastAsia="en-US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22"/>
        </w:rPr>
        <w:t xml:space="preserve">Действителен с 21.01.2025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16.04.2026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70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3496945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5.35000000000002pt;margin-top:11.8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7AEE97A08C8432425F146F6255A521C3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500" w:line="240" w:lineRule="auto"/>
        <w:ind w:right="0" w:firstLine="0"/>
        <w:jc w:val="left"/>
      </w:pPr>
      <w:r>
        <w:rPr>
          <w:rStyle w:val="CharStyle22"/>
        </w:rPr>
        <w:t xml:space="preserve">Действителен с 12.11.2024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05.02.2026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10247630</wp:posOffset>
              </wp:positionV>
              <wp:extent cx="731520" cy="9461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6.89999999999998pt;width:57.600000000000001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10095230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450000000000003pt;margin-top:794.89999999999998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461010</wp:posOffset>
              </wp:positionV>
              <wp:extent cx="7620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25pt;margin-top:36.300000000000004pt;width:6.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Body text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  <w:ind w:left="44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Body text (4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