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01.09.2025</w:t>
        <w:tab/>
      </w:r>
      <w:r>
        <w:fldChar w:fldCharType="end"/>
      </w:r>
      <w:r>
        <w:rPr>
          <w:rStyle w:val="CharStyle10"/>
        </w:rPr>
        <w:t>№ 35059/25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ФГБУ «ГНЦ инстиут иммунологии» ФМБА России </w:t>
      </w:r>
      <w:r>
        <w:fldChar w:fldCharType="begin"/>
      </w:r>
      <w:r>
        <w:rPr/>
        <w:instrText> HYPERLINK "mailto:zakupki-immune@yandex.ru" </w:instrText>
      </w:r>
      <w:r>
        <w:fldChar w:fldCharType="separate"/>
      </w:r>
      <w:r>
        <w:rPr>
          <w:rStyle w:val="CharStyle12"/>
          <w:lang w:val="en-US" w:eastAsia="en-US"/>
        </w:rPr>
        <w:t>zakupki-immune@yandex.ru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079" w:bottom="708" w:left="1265" w:header="0" w:footer="3" w:gutter="0"/>
          <w:pgNumType w:start="1"/>
          <w:cols w:num="2" w:space="720" w:equalWidth="0">
            <w:col w:w="3835" w:space="1301"/>
            <w:col w:w="4421"/>
          </w:cols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ООО «ТД «Политон-Тех» </w:t>
      </w:r>
      <w:r>
        <w:fldChar w:fldCharType="begin"/>
      </w:r>
      <w:r>
        <w:rPr/>
        <w:instrText> HYPERLINK "mailto:politon_td@mail.ru" </w:instrText>
      </w:r>
      <w:r>
        <w:fldChar w:fldCharType="separate"/>
      </w:r>
      <w:r>
        <w:rPr>
          <w:rStyle w:val="CharStyle12"/>
          <w:lang w:val="en-US" w:eastAsia="en-US"/>
        </w:rPr>
        <w:t>politon_td@mail.ru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8" w:after="4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74" w:right="0" w:bottom="8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077/06/106-10722/2025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27.08.2025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заместителя начальника отдела обжалования государственных закупок Д.С. Грешневой,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А.И. Рахматуллаева,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видеоконференцсвязи),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ФГБУ «ГНЦ инстиут иммунологии» ФМБА России: Хаитова Т.М. (по доверенности </w:t>
      </w:r>
      <w:r>
        <w:rPr>
          <w:rStyle w:val="CharStyle12"/>
          <w:lang w:val="en-US" w:eastAsia="en-US"/>
        </w:rPr>
        <w:t xml:space="preserve">№ 201-01/17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24.12.2024);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ООО «ТД «Политон-Тех»: Шлычковой А.И. (по доверенности </w:t>
      </w:r>
      <w:r>
        <w:rPr>
          <w:rStyle w:val="CharStyle12"/>
          <w:lang w:val="en-US" w:eastAsia="en-US"/>
        </w:rPr>
        <w:t xml:space="preserve">№1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26.08.2025);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рассмотрев жалобу ООО «ТД «Политон-Тех»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ФГБУ «ГНЦ инстиут иммунологии» ФМБА России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картриджей для печатающих устройств и МФУ для нужд ФГБУ «ГНЦ Институт иммунологии» ФМБА России (Закупка </w:t>
      </w:r>
      <w:r>
        <w:rPr>
          <w:rStyle w:val="CharStyle12"/>
          <w:lang w:val="en-US" w:eastAsia="en-US"/>
        </w:rPr>
        <w:t xml:space="preserve">№0373100070325000185) (далее– </w:t>
      </w:r>
      <w:r>
        <w:rPr>
          <w:rStyle w:val="CharStyle12"/>
        </w:rPr>
        <w:t xml:space="preserve">аукцион)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1935" cy="29273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Заявитель обжалует действия Заказчика, выразившиеся в утверждении извещения об осуществлении закупки в нарушение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составе жалобы Заявитель указывает, что при формировании извещения Заказчиком выбран неверный код по общероссийскому классификатору продукции по видам экономической деятельности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ОКПД2), в частности код </w:t>
      </w:r>
      <w:r>
        <w:rPr>
          <w:rStyle w:val="CharStyle12"/>
          <w:lang w:val="en-US" w:eastAsia="en-US"/>
        </w:rPr>
        <w:t xml:space="preserve">20.59.12.120 </w:t>
      </w:r>
      <w:r>
        <w:rPr>
          <w:rStyle w:val="CharStyle12"/>
        </w:rPr>
        <w:t xml:space="preserve">«Составы химические, используемые в фотографии, не включенные в другие группировки», в то время как, по мнению Заявителя, закупаемым Заказчиком картриджам, соответствует код ОКПД2 </w:t>
      </w:r>
      <w:r>
        <w:rPr>
          <w:rStyle w:val="CharStyle12"/>
          <w:lang w:val="en-US" w:eastAsia="en-US"/>
        </w:rPr>
        <w:t xml:space="preserve">26.20.40.120 </w:t>
      </w:r>
      <w:r>
        <w:rPr>
          <w:rStyle w:val="CharStyle12"/>
        </w:rPr>
        <w:t>«Элементы замены типовые устройств ввода и вывода».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При этом Заявитель также указывает, что вышеуказанное нарушение повлекло за собой неправомерное установление преимуществ в отношении товаров российского происхождения, предусмотренных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23.12.2024 №1875 </w:t>
      </w:r>
      <w:r>
        <w:rPr>
          <w:rStyle w:val="CharStyle12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 xml:space="preserve">№1875), </w:t>
      </w:r>
      <w:r>
        <w:rPr>
          <w:rStyle w:val="CharStyle12"/>
        </w:rPr>
        <w:t xml:space="preserve">при закупке товара, включенного в приложение </w:t>
      </w:r>
      <w:r>
        <w:rPr>
          <w:rStyle w:val="CharStyle12"/>
          <w:lang w:val="en-US" w:eastAsia="en-US"/>
        </w:rPr>
        <w:t xml:space="preserve">№2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в отношении которых распространяются ограничения закупок для обеспечения государственных и муниципальных нужд Постановления </w:t>
      </w:r>
      <w:r>
        <w:rPr>
          <w:rStyle w:val="CharStyle12"/>
          <w:lang w:val="en-US" w:eastAsia="en-US"/>
        </w:rPr>
        <w:t>№1875.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Комиссией Управления установлено, что согласно описанию объекта закупки Заказчиком установлены требования к закупаемым товарам: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Картридж для электрографических печатающих устройств Идентификаторы: </w:t>
      </w:r>
      <w:r>
        <w:rPr>
          <w:rStyle w:val="CharStyle12"/>
          <w:lang w:val="en-US" w:eastAsia="en-US"/>
        </w:rPr>
        <w:t xml:space="preserve">189279069; 189279074; 189279065; 189273663; 189273664; 189273665; 189279066; 189279067; 189279070; 189279071; 189279072; 189279073; 189267309; 189279068; </w:t>
      </w:r>
      <w:r>
        <w:rPr>
          <w:rStyle w:val="CharStyle12"/>
        </w:rPr>
        <w:t xml:space="preserve">ОКПД2 </w:t>
      </w:r>
      <w:r>
        <w:rPr>
          <w:rStyle w:val="CharStyle12"/>
          <w:lang w:val="en-US" w:eastAsia="en-US"/>
        </w:rPr>
        <w:t xml:space="preserve">28.23.25.000 </w:t>
      </w:r>
      <w:r>
        <w:rPr>
          <w:rStyle w:val="CharStyle12"/>
        </w:rPr>
        <w:t>«Части и принадлежности прочих офисных машин».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силу ч.1 ст.14 Закона о контрактной системе при осуществлении закупок предоставляется национальный режим, обеспечивающий происходящему из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иностранного государства или группы иностранных государств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силу ч.2 ст.14 Закона о контрактной системе Правительство Российской Федерации: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вправе с учетом положений ч.3 ст.14 Закона о контрактной системе принимать меры, устанавливающие: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ч.2 ст.14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rStyle w:val="CharStyle12"/>
        </w:rPr>
        <w:t xml:space="preserve">В соответствии с п. </w:t>
      </w:r>
      <w:r>
        <w:rPr>
          <w:rStyle w:val="CharStyle12"/>
          <w:lang w:val="en-US" w:eastAsia="en-US"/>
        </w:rPr>
        <w:t xml:space="preserve">2, 3 </w:t>
      </w:r>
      <w:r>
        <w:rPr>
          <w:rStyle w:val="CharStyle12"/>
        </w:rPr>
        <w:t>ч.4 ст.14 Закона о контрактной системе при осуществлении закупки товара: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9" w:val="left"/>
        </w:tabs>
        <w:bidi w:val="0"/>
        <w:spacing w:before="0" w:after="0" w:line="264" w:lineRule="auto"/>
        <w:ind w:left="0" w:right="0" w:firstLine="700"/>
        <w:jc w:val="both"/>
      </w:pPr>
      <w:r>
        <w:rPr>
          <w:rStyle w:val="CharStyle12"/>
        </w:rPr>
        <w:t>если Правительством Российской Федерации установлено предусмотренное пп.«б» п.1 ч.2 ст.14 Закона о контрактной системе ограничение закупок товара: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9" w:val="left"/>
        </w:tabs>
        <w:bidi w:val="0"/>
        <w:spacing w:before="0" w:after="0" w:line="264" w:lineRule="auto"/>
        <w:ind w:left="0" w:right="0" w:firstLine="700"/>
        <w:jc w:val="both"/>
      </w:pPr>
      <w:r>
        <w:rPr>
          <w:rStyle w:val="CharStyle12"/>
        </w:rPr>
        <w:t>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Законом о контрактной системе, если на участие в закупке подана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</w:pPr>
      <w:r>
        <w:rPr>
          <w:rStyle w:val="CharStyle12"/>
        </w:rPr>
        <w:t>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7" w:val="left"/>
        </w:tabs>
        <w:bidi w:val="0"/>
        <w:spacing w:before="0" w:after="0" w:line="264" w:lineRule="auto"/>
        <w:ind w:left="0" w:right="0" w:firstLine="700"/>
        <w:jc w:val="both"/>
      </w:pPr>
      <w:r>
        <w:rPr>
          <w:rStyle w:val="CharStyle12"/>
        </w:rPr>
        <w:t>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rStyle w:val="CharStyle12"/>
        </w:rPr>
        <w:t>если Правительством Российской Федерации установлено предусмотренное пп.«в» п.1 ч.2 ст.14 Закона о контрактной системе преимущество в отношении товара российского происхождения: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7" w:val="left"/>
        </w:tabs>
        <w:bidi w:val="0"/>
        <w:spacing w:before="0" w:after="0" w:line="264" w:lineRule="auto"/>
        <w:ind w:left="0" w:right="0" w:firstLine="700"/>
        <w:jc w:val="both"/>
      </w:pPr>
      <w:r>
        <w:rPr>
          <w:rStyle w:val="CharStyle12"/>
        </w:rPr>
        <w:t xml:space="preserve">при присвоении в соответствии с пп. «б» п.1 ч.15 ст.48, пп. «б» п.1 ч.5 ст.49, пп. «б» п.1 ч.3 ст.50, пп. «в» п.1 ч.10 ст.73,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74, </w:t>
      </w:r>
      <w:r>
        <w:rPr>
          <w:rStyle w:val="CharStyle12"/>
        </w:rPr>
        <w:t>пп. «в» п.1 ч.9 ст.75, пп. «б» п.1 ч.5 ст.76 Закона о контрактной системе порядкового номера заявке на участие в закупке, содержащей предложение о поставке товара только российского происхождения,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платы, подлежащей внесению за заключение контракта. При присвоении в соответствии с пп. «б» п.6 ч.12 ст.93 Закона о контрактной системе порядкового номера заявке на участие в закупке, содержащей предложение о поставке товара только российского происхождения, осуществляется снижение на пятнадцать процентов цены за единицу товара, предложенной участником закупки, подавшим такую заявку;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7" w:val="left"/>
        </w:tabs>
        <w:bidi w:val="0"/>
        <w:spacing w:before="0" w:after="0" w:line="264" w:lineRule="auto"/>
        <w:ind w:left="0" w:right="0" w:firstLine="700"/>
        <w:jc w:val="both"/>
      </w:pPr>
      <w:r>
        <w:rPr>
          <w:rStyle w:val="CharStyle12"/>
        </w:rPr>
        <w:t>в случае заключения контракта с участником закупки, указанным в пп. «а» п.3 ч.4 ст.14 Закона о контрактной системе, контракт заключается без учета осуществленных в соответствии с пп. «а» п.3 ч.4 ст.14 Закона о контрактной системе снижения ценового предложения, цены за единицу товара либо увеличения ценового предложения;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7" w:val="left"/>
        </w:tabs>
        <w:bidi w:val="0"/>
        <w:spacing w:before="0" w:after="0" w:line="264" w:lineRule="auto"/>
        <w:ind w:left="0" w:right="0" w:firstLine="700"/>
        <w:jc w:val="both"/>
      </w:pPr>
      <w:r>
        <w:rPr>
          <w:rStyle w:val="CharStyle12"/>
        </w:rPr>
        <w:t>при исполнении контракта допускается замена товара (с учетом особенностей, предусмотренных ч.7 ст.95 Закона о контрактной системе) исключительно на товар российского происхождения, если контракт предусматривает поставку товара российского происхождения.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п.15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Абз.3 и абз.4 п.1 Постановления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 xml:space="preserve">установлены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2"/>
          <w:lang w:val="en-US" w:eastAsia="en-US"/>
        </w:rPr>
        <w:t xml:space="preserve">№ 2, </w:t>
      </w:r>
      <w:r>
        <w:rPr>
          <w:rStyle w:val="CharStyle12"/>
        </w:rPr>
        <w:t>и 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Комиссией Управления установлено, что указанный в извещении об осуществлении закупки код ОКПД2 </w:t>
      </w:r>
      <w:r>
        <w:rPr>
          <w:rStyle w:val="CharStyle12"/>
          <w:lang w:val="en-US" w:eastAsia="en-US"/>
        </w:rPr>
        <w:t xml:space="preserve">28.23.25.000 </w:t>
      </w:r>
      <w:r>
        <w:rPr>
          <w:rStyle w:val="CharStyle12"/>
        </w:rPr>
        <w:t xml:space="preserve">«Части и принадлежности прочих офисных машин» не входит в Перечень, установленный положениями Постановления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при этом код ОКПД2 </w:t>
      </w:r>
      <w:r>
        <w:rPr>
          <w:rStyle w:val="CharStyle12"/>
          <w:lang w:val="en-US" w:eastAsia="en-US"/>
        </w:rPr>
        <w:t xml:space="preserve">26.20.40.120 </w:t>
      </w:r>
      <w:r>
        <w:rPr>
          <w:rStyle w:val="CharStyle12"/>
        </w:rPr>
        <w:t xml:space="preserve">«Элементы замены типовые устройств ввода и вывода» включен в подгруппу кодов ОКПД2 </w:t>
      </w:r>
      <w:r>
        <w:rPr>
          <w:rStyle w:val="CharStyle12"/>
          <w:lang w:val="en-US" w:eastAsia="en-US"/>
        </w:rPr>
        <w:t xml:space="preserve">26.20.4 </w:t>
      </w:r>
      <w:r>
        <w:rPr>
          <w:rStyle w:val="CharStyle12"/>
        </w:rPr>
        <w:t>«Блоки, части и принадлежности вычислительных машин», которая, в свою очередь, включена в указанный Перечень.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доводам жалобы, соответствующим кодом ОКПД2 является код ОКПД2 </w:t>
      </w:r>
      <w:r>
        <w:rPr>
          <w:rStyle w:val="CharStyle12"/>
          <w:lang w:val="en-US" w:eastAsia="en-US"/>
        </w:rPr>
        <w:t xml:space="preserve">26.20.40.120 </w:t>
      </w:r>
      <w:r>
        <w:rPr>
          <w:rStyle w:val="CharStyle12"/>
        </w:rPr>
        <w:t xml:space="preserve">«Элементы замены типовые устройств ввода и вывода, поскольку в соответствие с наименованием данного кода этот код ОКПД2 </w:t>
      </w:r>
      <w:r>
        <w:rPr>
          <w:rStyle w:val="CharStyle12"/>
          <w:lang w:val="en-US" w:eastAsia="en-US"/>
        </w:rPr>
        <w:t xml:space="preserve">26.20.40.120 </w:t>
      </w:r>
      <w:r>
        <w:rPr>
          <w:rStyle w:val="CharStyle12"/>
        </w:rPr>
        <w:t>является наиболее общим к картриджем и в полной мере соответствует описанию объектов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 этом в обоснование своей позиции Заявитель указывает, что в классификаторе ОКПД2 присутствует следующее детализирующее пояснение кода ОКПД2 </w:t>
      </w:r>
      <w:r>
        <w:rPr>
          <w:rStyle w:val="CharStyle12"/>
          <w:lang w:val="en-US" w:eastAsia="en-US"/>
        </w:rPr>
        <w:t xml:space="preserve">26.20.40.120 </w:t>
      </w:r>
      <w:r>
        <w:rPr>
          <w:rStyle w:val="CharStyle12"/>
        </w:rPr>
        <w:t>«Элементы замены типовые устройств ввода и вывода»: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Эта группировка в том числе включает: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b/>
          <w:bCs/>
          <w:i/>
          <w:iCs/>
        </w:rPr>
        <w:t>картриджи однокомпонентные (в одном корпусе совмещен блок фотобарабана и тонерный отсек);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b/>
          <w:bCs/>
          <w:i/>
          <w:iCs/>
        </w:rPr>
        <w:t>картриджи и прочие расходные материалы для сублимационных принтеров»;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b/>
          <w:bCs/>
          <w:i/>
          <w:iCs/>
        </w:rPr>
        <w:t>картриджи для струйных и каплеструйных принтеров и многофункциональных печатающих устройств;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i/>
          <w:iCs/>
        </w:rPr>
        <w:t>емкости с тонером и тонерные отсеки для лазерных и светодиодных принтеров и многофункциональных печатающих устройств;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52" w:lineRule="auto"/>
        <w:ind w:left="0" w:right="0" w:firstLine="720"/>
        <w:jc w:val="both"/>
      </w:pPr>
      <w:r>
        <w:rPr>
          <w:rStyle w:val="CharStyle12"/>
          <w:i/>
          <w:iCs/>
        </w:rPr>
        <w:t>фотопроводниковые блоки формирования изображения и блоки переноса (барабаны, ленты) для лазерных и светодиодных принтеров и многофункциональных печатающих устройств;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52" w:lineRule="auto"/>
        <w:ind w:left="0" w:right="0" w:firstLine="720"/>
        <w:jc w:val="both"/>
      </w:pPr>
      <w:r>
        <w:rPr>
          <w:rStyle w:val="CharStyle12"/>
          <w:i/>
          <w:iCs/>
        </w:rPr>
        <w:t>емкости с магнитным носителем порошка (девелопер) для лазерных и светодиодных принтеров и многофункциональных печатающих устройств;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52" w:lineRule="auto"/>
        <w:ind w:left="0" w:right="0" w:firstLine="720"/>
        <w:jc w:val="both"/>
      </w:pPr>
      <w:r>
        <w:rPr>
          <w:rStyle w:val="CharStyle12"/>
          <w:i/>
          <w:iCs/>
        </w:rPr>
        <w:t>емкости с чернилами для струйных, каплеструйных и твердочернильных принтеров и многофункциональных печатающих устройств, красящие ленты для матричных и литерных принтеров;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52" w:lineRule="auto"/>
        <w:ind w:left="0" w:right="0" w:firstLine="720"/>
        <w:jc w:val="both"/>
      </w:pPr>
      <w:r>
        <w:rPr>
          <w:rStyle w:val="CharStyle12"/>
          <w:i/>
          <w:iCs/>
        </w:rPr>
        <w:t>средства очистки системы печати для струйных, каплеструйных и твердочернильных принтеров и многофункциональных печатающих устройств, блоки сбора отработанного тонера для лазерных и светодиодных принтеров и многофункциональных печатающих устройств.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12"/>
        </w:rPr>
        <w:t>По мнению Заявителя, закупаемые картриджи соответствуют именно указанным группировкам.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1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12"/>
        </w:rPr>
        <w:t>На заседании Комиссии Управления представитель Заказчика пояснил, что товары, указанные в описании объекта закупки, закупались для лазерных принтеров.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12"/>
        </w:rPr>
        <w:t>В свою очередь, Комиссия Управления отмечает, что при формировании описания объекта закупки, в частности при выборе кода ОКПД2, Заказчику надлежит руководствоваться, в том числе, детализированными пояснениями ОКПД2.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12"/>
        </w:rPr>
        <w:t>При этом Комиссия Управления считает необходимым отметить, что Заказчики самостоятельно определяют код ОКПД2 как наиболее подходящий объекту закупки, исходя из собственных потребностей и особенностей закупаемого товара, работы, услуги.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12"/>
        </w:rPr>
        <w:t xml:space="preserve">Кроме того, как отмечено Комиссией Управления ранее, код ОКПД2 </w:t>
      </w:r>
      <w:r>
        <w:rPr>
          <w:rStyle w:val="CharStyle12"/>
          <w:lang w:val="en-US" w:eastAsia="en-US"/>
        </w:rPr>
        <w:t xml:space="preserve">28.23.25.000 </w:t>
      </w:r>
      <w:r>
        <w:rPr>
          <w:rStyle w:val="CharStyle12"/>
        </w:rPr>
        <w:t xml:space="preserve">не входит в приложение </w:t>
      </w:r>
      <w:r>
        <w:rPr>
          <w:rStyle w:val="CharStyle12"/>
          <w:lang w:val="en-US" w:eastAsia="en-US"/>
        </w:rPr>
        <w:t xml:space="preserve">№ 1, 2 </w:t>
      </w:r>
      <w:r>
        <w:rPr>
          <w:rStyle w:val="CharStyle12"/>
        </w:rPr>
        <w:t xml:space="preserve">Постановления Правительства РФ от </w:t>
      </w:r>
      <w:r>
        <w:rPr>
          <w:rStyle w:val="CharStyle12"/>
          <w:lang w:val="en-US" w:eastAsia="en-US"/>
        </w:rPr>
        <w:t xml:space="preserve">23.12.2024 № 1875, </w:t>
      </w:r>
      <w:r>
        <w:rPr>
          <w:rStyle w:val="CharStyle12"/>
        </w:rPr>
        <w:t xml:space="preserve">следовательно Заказчиком на основании пп. «б» п.4 Постановления </w:t>
      </w:r>
      <w:r>
        <w:rPr>
          <w:rStyle w:val="CharStyle12"/>
          <w:lang w:val="en-US" w:eastAsia="en-US"/>
        </w:rPr>
        <w:t xml:space="preserve">№ 1875 </w:t>
      </w:r>
      <w:r>
        <w:rPr>
          <w:rStyle w:val="CharStyle12"/>
        </w:rPr>
        <w:t>было установлено преимущество.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12"/>
        </w:rPr>
        <w:t xml:space="preserve">Вместе с тем в составе жалобы не содержится документов и сведений доказывающих соответствие кода ОКПД2 </w:t>
      </w:r>
      <w:r>
        <w:rPr>
          <w:rStyle w:val="CharStyle12"/>
          <w:lang w:val="en-US" w:eastAsia="en-US"/>
        </w:rPr>
        <w:t xml:space="preserve">26.20.40.120, </w:t>
      </w:r>
      <w:r>
        <w:rPr>
          <w:rStyle w:val="CharStyle12"/>
        </w:rPr>
        <w:t>как отвечающему описанию объекта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12"/>
        </w:rPr>
        <w:t>На основании вышеизложенного Комиссия Управления приходит к выводу о необоснованности данных доводов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12"/>
        </w:rPr>
        <w:t>Исследовав представленные материалы, Законом о контрактной системе, Комиссия Управления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Признать жалобу ООО «ТД «Политон-Тех» на действия ФГБУ «ГНЦ инстиут иммунологии» ФМБА России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16" w:val="left"/>
        </w:tabs>
        <w:bidi w:val="0"/>
        <w:spacing w:before="0" w:after="320" w:line="240" w:lineRule="auto"/>
        <w:ind w:left="0" w:right="0" w:firstLine="700"/>
        <w:jc w:val="both"/>
      </w:pPr>
      <w:r>
        <w:rPr>
          <w:rStyle w:val="CharStyle12"/>
        </w:rPr>
        <w:t>Снять ограничения на определение поставщика (подрядчика, исполнителя), наложенные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74" w:right="534" w:bottom="826" w:left="10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07010" distL="0" distR="0" simplePos="0" relativeHeight="125829379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127000</wp:posOffset>
                </wp:positionV>
                <wp:extent cx="184404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800000000000004pt;margin-top:10.pt;width:145.20000000000002pt;height:19.699999999999999pt;z-index:-125829374;mso-wrap-distance-left:0;mso-wrap-distance-top:10.pt;mso-wrap-distance-right:0;mso-wrap-distance-bottom:16.3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8440" distB="0" distL="0" distR="1804670" simplePos="0" relativeHeight="125829381" behindDoc="0" locked="0" layoutInCell="1" allowOverlap="1">
            <wp:simplePos x="0" y="0"/>
            <wp:positionH relativeFrom="page">
              <wp:posOffset>2977515</wp:posOffset>
            </wp:positionH>
            <wp:positionV relativeFrom="paragraph">
              <wp:posOffset>218440</wp:posOffset>
            </wp:positionV>
            <wp:extent cx="316865" cy="36576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3373755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65.64999999999998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07010" distL="0" distR="0" simplePos="0" relativeHeight="125829382" behindDoc="0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127000</wp:posOffset>
                </wp:positionV>
                <wp:extent cx="1136650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8.5pt;margin-top:10.pt;width:89.5pt;height:19.699999999999999pt;z-index:-125829371;mso-wrap-distance-left:0;mso-wrap-distance-top:10.pt;mso-wrap-distance-right:0;mso-wrap-distance-bottom:16.3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Грешнева Дарья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  <w:color w:val="292929"/>
        </w:rPr>
        <w:t xml:space="preserve">Сертификат № </w:t>
      </w:r>
      <w:r>
        <w:rPr>
          <w:rStyle w:val="CharStyle22"/>
          <w:color w:val="5D5D5D"/>
        </w:rPr>
        <w:t>00831</w:t>
      </w:r>
      <w:r>
        <w:rPr>
          <w:rStyle w:val="CharStyle22"/>
          <w:lang w:val="en-US" w:eastAsia="en-US"/>
        </w:rPr>
        <w:t>B7545C61281C4BAB156778A683BFB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rStyle w:val="CharStyle22"/>
        </w:rPr>
        <w:t xml:space="preserve">Действителен с </w:t>
      </w:r>
      <w:r>
        <w:rPr>
          <w:rStyle w:val="CharStyle22"/>
          <w:color w:val="292929"/>
        </w:rPr>
        <w:t xml:space="preserve">17.07.2025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10.10.2026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2953385</wp:posOffset>
            </wp:positionH>
            <wp:positionV relativeFrom="paragraph">
              <wp:posOffset>25400</wp:posOffset>
            </wp:positionV>
            <wp:extent cx="359410" cy="51816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3413760</wp:posOffset>
                </wp:positionH>
                <wp:positionV relativeFrom="paragraph">
                  <wp:posOffset>427990</wp:posOffset>
                </wp:positionV>
                <wp:extent cx="1283335" cy="10033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68.80000000000001pt;margin-top:33.700000000000003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3373755</wp:posOffset>
                </wp:positionH>
                <wp:positionV relativeFrom="paragraph">
                  <wp:posOffset>110490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65.64999999999998pt;margin-top:8.700000000000001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Е.Д. Мартьянова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Мартьянова Елена Дмитриевна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009EC19D0AD083DC593EE489E44F6A415</w:t>
      </w:r>
      <w:r>
        <w:rPr>
          <w:rStyle w:val="CharStyle22"/>
          <w:lang w:val="en-US" w:eastAsia="en-US"/>
        </w:rPr>
        <w:t>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rStyle w:val="CharStyle22"/>
        </w:rPr>
        <w:t xml:space="preserve">Действителен с 21.01.2025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16.04.2026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2953385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3416935</wp:posOffset>
                </wp:positionH>
                <wp:positionV relativeFrom="paragraph">
                  <wp:posOffset>468630</wp:posOffset>
                </wp:positionV>
                <wp:extent cx="1280160" cy="10033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69.05000000000001pt;margin-top:36.899999999999999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3373755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65.64999999999998pt;margin-top:11.95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А.И. Рахматуллаев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Рахматуллаев Алексей Ильич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7AEE97A08C8432425F146F6255A521C3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460" w:line="240" w:lineRule="auto"/>
        <w:ind w:right="0" w:firstLine="0"/>
        <w:jc w:val="left"/>
      </w:pPr>
      <w:r>
        <w:rPr>
          <w:rStyle w:val="CharStyle22"/>
        </w:rPr>
        <w:t xml:space="preserve">Действителен с 12.11.2024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05.02.2026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7"/>
        </w:rPr>
        <w:t>Исп.Рахматуллаев А.И.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94" w:right="532" w:bottom="141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10054590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2025-39559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950000000000003pt;margin-top:791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2025-39559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22630" cy="10668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2025-39559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30000000000007pt;width:56.899999999999999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2025-39559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427990</wp:posOffset>
              </wp:positionV>
              <wp:extent cx="7620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75pt;margin-top:33.700000000000003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5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7">
    <w:name w:val="Body text (4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5)"/>
    <w:basedOn w:val="Normal"/>
    <w:link w:val="CharStyle20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5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6">
    <w:name w:val="Body text (4)"/>
    <w:basedOn w:val="Normal"/>
    <w:link w:val="CharStyle27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