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  <w:u w:val="none"/>
        </w:rPr>
        <w:t>01.</w:t>
      </w:r>
      <w:r>
        <w:rPr>
          <w:rStyle w:val="CharStyle10"/>
        </w:rPr>
        <w:t>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35088/25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ГКУ «Дирекция ЖКХиБ ЦАО»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"mailto:zakupki_cao@mail.ru" </w:instrText>
      </w:r>
      <w:r>
        <w:fldChar w:fldCharType="separate"/>
      </w:r>
      <w:r>
        <w:rPr>
          <w:rStyle w:val="CharStyle13"/>
          <w:lang w:val="en-US" w:eastAsia="en-US"/>
        </w:rPr>
        <w:t>zakupki_cao@mail.ru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ГБУ «Жилищник района Якиманка»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"mailto:zakupki.yakimanka@gmail.com" </w:instrText>
      </w:r>
      <w:r>
        <w:fldChar w:fldCharType="separate"/>
      </w:r>
      <w:r>
        <w:rPr>
          <w:rStyle w:val="CharStyle13"/>
          <w:lang w:val="en-US" w:eastAsia="en-US"/>
        </w:rPr>
        <w:t>zakupki.yakimanka@gmail.com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ООО «МСК Регионснаб»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"mailto:mskregionsnab@yandex.ru" </w:instrText>
      </w:r>
      <w:r>
        <w:fldChar w:fldCharType="separate"/>
      </w:r>
      <w:r>
        <w:rPr>
          <w:rStyle w:val="CharStyle13"/>
          <w:lang w:val="en-US" w:eastAsia="en-US"/>
        </w:rPr>
        <w:t>mskregionsnab@yandex.ru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03" w:bottom="708" w:left="1135" w:header="0" w:footer="3" w:gutter="0"/>
          <w:pgNumType w:start="1"/>
          <w:cols w:num="2" w:space="878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5" w:right="0" w:bottom="5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по делу №077/06/106-10871/2025 о нарушении</w:t>
        <w:br/>
        <w:t>законодательства о контрактной системе</w:t>
        <w:br/>
        <w:t>27.08.2025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Специалиста-эксперта отдела обжалования государственных закупок О.А. Челнова,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при участии: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представителей: ООО «МСК Регионснаб»: Кузнецова А.А. (дов.№б/н от 26.08.2025), ГКУ «Дирекция ЖКХиБ ЦАО»: Федоренко А.О. (дов.№б/н от 13.01.2025),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слушателей: Усовой А.П., Баранова А.И.,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в отсутствие представителей ГБУ «Жилищник района Якиманка»,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рассмотрев жалобу ООО «МСК Регионснаб» (далее — Заявитель) на действия</w:t>
      </w:r>
    </w:p>
    <w:p>
      <w:pPr>
        <w:widowControl w:val="0"/>
        <w:spacing w:line="1" w:lineRule="exact"/>
      </w:pPr>
      <w:r>
        <w:drawing>
          <wp:anchor distT="152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152400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3"/>
        </w:rPr>
        <w:t xml:space="preserve">ГБУ «Жилищник района Якиманка»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Заказчик) при проведении электронного аукциона на право заключения государственного контракта на поставку запасных частей для ремонта специализированной техники (Закупка </w:t>
      </w:r>
      <w:r>
        <w:rPr>
          <w:rStyle w:val="CharStyle13"/>
          <w:lang w:val="en-US" w:eastAsia="en-US"/>
        </w:rPr>
        <w:t xml:space="preserve">№ 0373200081225000454)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аукцион), в соответствии с Федеральным законом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 составе в жалобы Заявитель указывает, что в описании объекта закупки Заказчиком указаны следующие избыточные, ограничивающие условия поставки товара: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  <w:lang w:val="en-US" w:eastAsia="en-US"/>
        </w:rPr>
        <w:t xml:space="preserve">«2.3 </w:t>
      </w:r>
      <w:r>
        <w:rPr>
          <w:rStyle w:val="CharStyle13"/>
        </w:rPr>
        <w:t xml:space="preserve">Поставщик должен иметь собственный Интернет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сайт с личным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>кабинетом и входом в него через пароль для Заказчика»;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  <w:lang w:val="en-US" w:eastAsia="en-US"/>
        </w:rPr>
        <w:t xml:space="preserve">«2.4.1 </w:t>
      </w:r>
      <w:r>
        <w:rPr>
          <w:rStyle w:val="CharStyle13"/>
        </w:rPr>
        <w:t>При поставке товаров по регулируемым картам поставщик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>обеспечивает наличие Склада на территории административных округов города Москвы».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Комиссией Управления установлено, что в описании объекта закупки Заказчиком определены в том числе следующие условия выполнения закупаемых работ: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100"/>
        <w:ind w:left="0" w:right="0" w:firstLine="700"/>
        <w:jc w:val="both"/>
      </w:pPr>
      <w:r>
        <w:rPr>
          <w:rStyle w:val="CharStyle13"/>
          <w:lang w:val="en-US" w:eastAsia="en-US"/>
        </w:rPr>
        <w:t xml:space="preserve">«2.3 </w:t>
      </w:r>
      <w:r>
        <w:rPr>
          <w:rStyle w:val="CharStyle13"/>
        </w:rPr>
        <w:t xml:space="preserve">Поставщик должен иметь собственный Интернет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сайт с личным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93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  <w:lang w:val="en-US" w:eastAsia="en-US"/>
        </w:rPr>
        <w:t>2025-39703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>кабинетом и входом в него через пароль для Заказчика»;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  <w:lang w:val="en-US" w:eastAsia="en-US"/>
        </w:rPr>
        <w:t xml:space="preserve">«2.4.1 </w:t>
      </w:r>
      <w:r>
        <w:rPr>
          <w:rStyle w:val="CharStyle13"/>
        </w:rPr>
        <w:t>При поставке товаров по регулируемым картам поставщик обеспечивает наличие Склада на территории административных округов города Москвы».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На заседании Комиссии Управления представитель Уполномоченного органа пояснил, что спорные условия описания объекта закупки установлены в соответствии с потребностью Заказчика, при этом в цену контракта включены в том числе оспариваемые условия описания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 обоснование своей позиции представитель Уполномоченного органа представил коммерческие предложения, полученные Заказчиком на этапе формирования начальной (максимальной)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Комиссия Управления отмечает, что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Вместе с этим в составе жалобы Заявителем, не представлено документов свидетельствующих о невозможности подачи заявки на участие в конкурентной процедуре, об ограничении количества участников закупки, при установлении оспариваемых требований, равно как не представлено доказательств того обстоятельства, что Заказчиком в составе описании объекта закупки установлен неисполнимые условия поставки товара, а также нет документального подтверждения указывающего на то, что в установленные Заказчиком условия поставки товара представляет преимущество конкретному участнику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Таким образом, Заявителем не представлено документов и сведений, подтверждающих обоснованность вышеуказанных доводов жалобы, в том числе в части невозможности подготовить заявку на участие в закупочной процедуре при установлении вышеуказанных требований, а также свидетельствующих о нарушении Заказчиком норм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Исходя из вышеизложенного у Комиссии Управления отсутствуют правовые основания для признания Заказчика нарушившим положения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5" w:right="544" w:bottom="517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На основании вышеизложенного Комиссия Управления приходит к выводу, что данный довод жалобы Заявителя не нашел своего подтверждения и является </w:t>
      </w:r>
      <w:r>
        <w:rPr>
          <w:rStyle w:val="CharStyle13"/>
          <w:sz w:val="24"/>
          <w:szCs w:val="24"/>
          <w:lang w:val="en-US" w:eastAsia="en-US"/>
        </w:rPr>
        <w:t>2025-39703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>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Также в составе жалобы Заявитель указывает, что в спецификацию закупаемых материалов, размещенной в электронном документе «Приложения к Техническому заданию», Заказчиком включены сведения о товарах не соотносящиеся с объектом закупки, например «Шина для бензопилы </w:t>
      </w:r>
      <w:r>
        <w:rPr>
          <w:rStyle w:val="CharStyle13"/>
          <w:lang w:val="en-US" w:eastAsia="en-US"/>
        </w:rPr>
        <w:t xml:space="preserve">16" 3/8" </w:t>
      </w:r>
      <w:r>
        <w:rPr>
          <w:rStyle w:val="CharStyle13"/>
        </w:rPr>
        <w:t xml:space="preserve">1.3мм </w:t>
      </w:r>
      <w:r>
        <w:rPr>
          <w:rStyle w:val="CharStyle13"/>
          <w:lang w:val="en-US" w:eastAsia="en-US"/>
        </w:rPr>
        <w:t xml:space="preserve">56 </w:t>
      </w:r>
      <w:r>
        <w:rPr>
          <w:rStyle w:val="CharStyle13"/>
        </w:rPr>
        <w:t xml:space="preserve">звеньев </w:t>
      </w:r>
      <w:r>
        <w:rPr>
          <w:rStyle w:val="CharStyle13"/>
          <w:lang w:val="en-US" w:eastAsia="en-US"/>
        </w:rPr>
        <w:t>CHAMPION».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На заседании Комиссии Управления представитель Уполномоченного органа согласился с доводами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>На основании вышеизложенного, Комиссия Управления приходит к выводу о нарушении Заказчиком положений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11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b/>
          <w:bCs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Признать жалобу ООО «МСК Регионснаб» на действия ГБУ «Жилищник района Якиманка» обоснованной в части формирования описания объекта закупки в нарушение положений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Признать в действиях Заказчика нарушение положений п.1 ч.1 ст.33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3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300"/>
        <w:ind w:left="0" w:right="0" w:firstLine="700"/>
        <w:jc w:val="both"/>
      </w:pPr>
      <w:r>
        <w:rPr>
          <w:rStyle w:val="CharStyle13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3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(трех) месяцев с даты его принятия в порядке, установленном гл.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7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240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8087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10.pt;width:148.09999999999999pt;height:19.900000000000002pt;z-index:-125829374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7330" distB="635" distL="0" distR="1816735" simplePos="0" relativeHeight="125829381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227330</wp:posOffset>
            </wp:positionV>
            <wp:extent cx="298450" cy="34734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2405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25pt;margin-top:10.pt;width:102.95pt;height:19.900000000000002pt;z-index:-125829371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67950889C45403E5BD9EBC88A8D80C0D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5"/>
        </w:rPr>
        <w:t xml:space="preserve">Действителен с 19.05.2025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12.08.2026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0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75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Матюшенко Александр Александрович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4F595A5C3E5ABB2DD77161F08559FC07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5"/>
        </w:rPr>
        <w:t xml:space="preserve">Действителен с 22.07.2025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15.10.2026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5000000000001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О.А. Челнова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Челнова Олеся Антоновна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05605B6072C3BC92D25AFCA81C80B531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rStyle w:val="CharStyle25"/>
        </w:rPr>
        <w:t xml:space="preserve">Действителен с 23.05.2025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16.08.2026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6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0739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2025-39703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804.30000000000007pt;width:55.700000000000003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2025-39703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2025-39703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2025-39703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264795</wp:posOffset>
              </wp:positionV>
              <wp:extent cx="6731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20.850000000000001pt;width:5.2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473075</wp:posOffset>
              </wp:positionV>
              <wp:extent cx="73025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8.75pt;margin-top:37.25pt;width:5.75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5)"/>
    <w:basedOn w:val="Normal"/>
    <w:link w:val="CharStyle16"/>
    <w:pPr>
      <w:widowControl w:val="0"/>
      <w:shd w:val="clear" w:color="auto" w:fill="auto"/>
      <w:spacing w:after="19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