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ind w:left="0" w:right="0" w:firstLine="0"/>
        <w:jc w:val="center"/>
      </w:pPr>
      <w:r>
        <w:rPr>
          <w:rStyle w:val="CharStyle11"/>
          <w:b/>
          <w:bCs/>
        </w:rP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rStyle w:val="CharStyle8"/>
        </w:rPr>
        <w:t>ул. Ленина, 384, г. Ставрополь, 355003</w:t>
        <w:br/>
        <w:t>тел. (8652) 25-74-05, факс (8652) 35-28-09</w:t>
        <w:br/>
      </w:r>
      <w:r>
        <w:rPr>
          <w:rStyle w:val="CharStyle8"/>
          <w:lang w:val="en-US" w:eastAsia="en-US"/>
        </w:rPr>
        <w:t xml:space="preserve">e-mail: </w:t>
      </w:r>
      <w:r>
        <w:fldChar w:fldCharType="begin"/>
      </w:r>
      <w:r>
        <w:rPr/>
        <w:instrText> HYPERLINK "mailto:to26@fas.gov.ru" </w:instrText>
      </w:r>
      <w:r>
        <w:fldChar w:fldCharType="separate"/>
      </w:r>
      <w:r>
        <w:rPr>
          <w:rStyle w:val="CharStyle8"/>
          <w:lang w:val="en-US" w:eastAsia="en-US"/>
        </w:rPr>
        <w:t>to26@fas.gov.ru</w:t>
      </w:r>
      <w:r>
        <w:fldChar w:fldCharType="end"/>
      </w:r>
    </w:p>
    <w:p>
      <w:pPr>
        <w:pStyle w:val="Style12"/>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3"/>
          <w:u w:val="none"/>
        </w:rPr>
        <w:t>0</w:t>
      </w:r>
      <w:r>
        <w:fldChar w:fldCharType="begin"/>
      </w:r>
      <w:r>
        <w:rPr/>
        <w:instrText> HYPERLINK "file://f207ca94-a13c-4ba0-b72d-f018c9eed8f1/" </w:instrText>
      </w:r>
      <w:r>
        <w:fldChar w:fldCharType="separate"/>
      </w:r>
      <w:r>
        <w:rPr>
          <w:rStyle w:val="CharStyle13"/>
          <w:u w:val="none"/>
        </w:rPr>
        <w:t>1.</w:t>
      </w:r>
      <w:r>
        <w:rPr>
          <w:rStyle w:val="CharStyle13"/>
        </w:rPr>
        <w:t>09.2025</w:t>
      </w:r>
      <w:r>
        <w:rPr>
          <w:rStyle w:val="CharStyle13"/>
          <w:u w:val="none"/>
        </w:rPr>
        <w:tab/>
      </w:r>
      <w:r>
        <w:fldChar w:fldCharType="end"/>
      </w:r>
      <w:r>
        <w:rPr>
          <w:rStyle w:val="CharStyle13"/>
          <w:u w:val="none"/>
        </w:rPr>
        <w:t xml:space="preserve">№ </w:t>
      </w:r>
      <w:r>
        <w:rPr>
          <w:rStyle w:val="CharStyle13"/>
        </w:rPr>
        <w:t>МИ/10493/</w:t>
      </w:r>
      <w:r>
        <w:rPr>
          <w:rStyle w:val="CharStyle13"/>
          <w:u w:val="none"/>
        </w:rPr>
        <w:t>25</w:t>
      </w:r>
      <w:bookmarkEnd w:id="0"/>
    </w:p>
    <w:p>
      <w:pPr>
        <w:pStyle w:val="Style10"/>
        <w:keepNext w:val="0"/>
        <w:keepLines w:val="0"/>
        <w:widowControl w:val="0"/>
        <w:shd w:val="clear" w:color="auto" w:fill="auto"/>
        <w:bidi w:val="0"/>
        <w:spacing w:before="0" w:after="620" w:line="266" w:lineRule="auto"/>
        <w:ind w:left="0" w:right="0" w:firstLine="0"/>
        <w:jc w:val="left"/>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решение 1891</w:t>
      </w:r>
    </w:p>
    <w:p>
      <w:pPr>
        <w:pStyle w:val="Style19"/>
        <w:keepNext w:val="0"/>
        <w:keepLines w:val="0"/>
        <w:widowControl w:val="0"/>
        <w:shd w:val="clear" w:color="auto" w:fill="auto"/>
        <w:bidi w:val="0"/>
        <w:spacing w:before="0" w:after="0" w:line="240" w:lineRule="auto"/>
        <w:ind w:left="0" w:right="0" w:firstLine="0"/>
        <w:jc w:val="left"/>
      </w:pPr>
      <w:r>
        <w:rPr>
          <w:rStyle w:val="CharStyle20"/>
        </w:rPr>
        <w:t>Заявитель:</w:t>
      </w:r>
    </w:p>
    <w:p>
      <w:pPr>
        <w:pStyle w:val="Style19"/>
        <w:keepNext w:val="0"/>
        <w:keepLines w:val="0"/>
        <w:widowControl w:val="0"/>
        <w:shd w:val="clear" w:color="auto" w:fill="auto"/>
        <w:bidi w:val="0"/>
        <w:spacing w:before="0" w:after="0" w:line="240" w:lineRule="auto"/>
        <w:ind w:left="0" w:right="0" w:firstLine="0"/>
        <w:jc w:val="left"/>
      </w:pPr>
      <w:r>
        <w:rPr>
          <w:rStyle w:val="CharStyle20"/>
        </w:rPr>
        <w:t>ООО «Энергоаудит СК» 355021, Ставропольский край, г. Ставрополь, ул. Перспективная, стр. 26А/956</w:t>
      </w:r>
    </w:p>
    <w:p>
      <w:pPr>
        <w:pStyle w:val="Style19"/>
        <w:keepNext w:val="0"/>
        <w:keepLines w:val="0"/>
        <w:widowControl w:val="0"/>
        <w:shd w:val="clear" w:color="auto" w:fill="auto"/>
        <w:bidi w:val="0"/>
        <w:spacing w:before="0" w:after="280" w:line="240" w:lineRule="auto"/>
        <w:ind w:left="0" w:right="0" w:firstLine="0"/>
        <w:jc w:val="left"/>
      </w:pPr>
      <w:r>
        <w:fldChar w:fldCharType="begin"/>
      </w:r>
      <w:r>
        <w:rPr/>
        <w:instrText> HYPERLINK "mailto:energoaudit.sk@mail.ru" </w:instrText>
      </w:r>
      <w:r>
        <w:fldChar w:fldCharType="separate"/>
      </w:r>
      <w:r>
        <w:rPr>
          <w:rStyle w:val="CharStyle20"/>
          <w:color w:val="000080"/>
          <w:u w:val="single"/>
          <w:lang w:val="en-US" w:eastAsia="en-US"/>
        </w:rPr>
        <w:t>energoaudit.sk@mail.ru</w:t>
      </w:r>
      <w:r>
        <w:fldChar w:fldCharType="end"/>
      </w:r>
    </w:p>
    <w:p>
      <w:pPr>
        <w:pStyle w:val="Style19"/>
        <w:keepNext w:val="0"/>
        <w:keepLines w:val="0"/>
        <w:widowControl w:val="0"/>
        <w:shd w:val="clear" w:color="auto" w:fill="auto"/>
        <w:bidi w:val="0"/>
        <w:spacing w:before="0" w:after="0" w:line="240" w:lineRule="auto"/>
        <w:ind w:left="0" w:right="0" w:firstLine="0"/>
        <w:jc w:val="left"/>
      </w:pPr>
      <w:r>
        <w:rPr>
          <w:rStyle w:val="CharStyle20"/>
        </w:rPr>
        <w:t>Заказчик:</w:t>
      </w:r>
    </w:p>
    <w:p>
      <w:pPr>
        <w:pStyle w:val="Style19"/>
        <w:keepNext w:val="0"/>
        <w:keepLines w:val="0"/>
        <w:widowControl w:val="0"/>
        <w:shd w:val="clear" w:color="auto" w:fill="auto"/>
        <w:bidi w:val="0"/>
        <w:spacing w:before="0" w:after="0" w:line="240" w:lineRule="auto"/>
        <w:ind w:left="0" w:right="0" w:firstLine="0"/>
        <w:jc w:val="left"/>
      </w:pPr>
      <w:r>
        <w:rPr>
          <w:rStyle w:val="CharStyle20"/>
        </w:rPr>
        <w:t>Комитет городского хозяйства администрации города Ставрополя 355017, Ставропольский край, г. Ставрополь, ул. Дзержинского, д. 116в/1</w:t>
      </w:r>
    </w:p>
    <w:p>
      <w:pPr>
        <w:pStyle w:val="Style19"/>
        <w:keepNext w:val="0"/>
        <w:keepLines w:val="0"/>
        <w:widowControl w:val="0"/>
        <w:shd w:val="clear" w:color="auto" w:fill="auto"/>
        <w:bidi w:val="0"/>
        <w:spacing w:before="0" w:after="280" w:line="240" w:lineRule="auto"/>
        <w:ind w:left="0" w:right="0" w:firstLine="0"/>
        <w:jc w:val="left"/>
      </w:pPr>
      <w:r>
        <w:fldChar w:fldCharType="begin"/>
      </w:r>
      <w:r>
        <w:rPr/>
        <w:instrText> HYPERLINK "mailto:kgh@stavadm.ru" </w:instrText>
      </w:r>
      <w:r>
        <w:fldChar w:fldCharType="separate"/>
      </w:r>
      <w:r>
        <w:rPr>
          <w:rStyle w:val="CharStyle20"/>
          <w:color w:val="000080"/>
          <w:u w:val="single"/>
          <w:lang w:val="en-US" w:eastAsia="en-US"/>
        </w:rPr>
        <w:t>kgh@stavadm.ru</w:t>
      </w:r>
      <w:r>
        <w:fldChar w:fldCharType="end"/>
      </w:r>
      <w:r>
        <w:rPr>
          <w:rStyle w:val="CharStyle20"/>
          <w:lang w:val="en-US" w:eastAsia="en-US"/>
        </w:rPr>
        <w:t xml:space="preserve">; </w:t>
      </w:r>
      <w:r>
        <w:fldChar w:fldCharType="begin"/>
      </w:r>
      <w:r>
        <w:rPr/>
        <w:instrText> HYPERLINK "mailto:kgx-stav@mail.ru" </w:instrText>
      </w:r>
      <w:r>
        <w:fldChar w:fldCharType="separate"/>
      </w:r>
      <w:r>
        <w:rPr>
          <w:rStyle w:val="CharStyle20"/>
          <w:color w:val="000080"/>
          <w:u w:val="single"/>
          <w:lang w:val="en-US" w:eastAsia="en-US"/>
        </w:rPr>
        <w:t>kgx-stav@mail.ru</w:t>
      </w:r>
      <w:r>
        <w:fldChar w:fldCharType="end"/>
      </w:r>
    </w:p>
    <w:p>
      <w:pPr>
        <w:pStyle w:val="Style19"/>
        <w:keepNext w:val="0"/>
        <w:keepLines w:val="0"/>
        <w:widowControl w:val="0"/>
        <w:shd w:val="clear" w:color="auto" w:fill="auto"/>
        <w:bidi w:val="0"/>
        <w:spacing w:before="0" w:after="0" w:line="240" w:lineRule="auto"/>
        <w:ind w:left="0" w:right="0" w:firstLine="0"/>
        <w:jc w:val="left"/>
      </w:pPr>
      <w:r>
        <w:rPr>
          <w:rStyle w:val="CharStyle20"/>
        </w:rPr>
        <w:t>Уполномоченный орган:</w:t>
      </w:r>
    </w:p>
    <w:p>
      <w:pPr>
        <w:pStyle w:val="Style19"/>
        <w:keepNext w:val="0"/>
        <w:keepLines w:val="0"/>
        <w:widowControl w:val="0"/>
        <w:shd w:val="clear" w:color="auto" w:fill="auto"/>
        <w:bidi w:val="0"/>
        <w:spacing w:before="0" w:after="0" w:line="240" w:lineRule="auto"/>
        <w:ind w:left="0" w:right="0" w:firstLine="0"/>
        <w:jc w:val="left"/>
      </w:pPr>
      <w:r>
        <w:rPr>
          <w:rStyle w:val="CharStyle20"/>
        </w:rPr>
        <w:t>Комитет экономического развития и торговли администрации города Ставрополя</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1026" w:bottom="1216" w:left="1135" w:header="0" w:footer="3" w:gutter="0"/>
          <w:pgNumType w:start="1"/>
          <w:cols w:num="2" w:space="792"/>
          <w:noEndnote/>
          <w:titlePg/>
          <w:rtlGutter w:val="0"/>
          <w:docGrid w:linePitch="360"/>
        </w:sectPr>
      </w:pPr>
      <w:r>
        <w:rPr>
          <w:rStyle w:val="CharStyle20"/>
        </w:rPr>
        <w:t xml:space="preserve">355035, Ставропольский край, г. Ставрополь, ул. К. Хетагурова, д. 8 </w:t>
      </w:r>
      <w:r>
        <w:fldChar w:fldCharType="begin"/>
      </w:r>
      <w:r>
        <w:rPr/>
        <w:instrText> HYPERLINK "mailto:zakupki@stavadm.ru" </w:instrText>
      </w:r>
      <w:r>
        <w:fldChar w:fldCharType="separate"/>
      </w:r>
      <w:r>
        <w:rPr>
          <w:rStyle w:val="CharStyle20"/>
          <w:color w:val="000080"/>
          <w:u w:val="single"/>
          <w:lang w:val="en-US" w:eastAsia="en-US"/>
        </w:rPr>
        <w:t>zakupki@stavadm.ru</w:t>
      </w:r>
      <w:r>
        <w:fldChar w:fldCharType="end"/>
      </w:r>
    </w:p>
    <w:p>
      <w:pPr>
        <w:widowControl w:val="0"/>
        <w:spacing w:line="127" w:lineRule="exact"/>
        <w:rPr>
          <w:sz w:val="10"/>
          <w:szCs w:val="10"/>
        </w:rPr>
      </w:pPr>
    </w:p>
    <w:p>
      <w:pPr>
        <w:widowControl w:val="0"/>
        <w:spacing w:line="1" w:lineRule="exact"/>
        <w:sectPr>
          <w:footnotePr>
            <w:pos w:val="pageBottom"/>
            <w:numFmt w:val="decimal"/>
            <w:numRestart w:val="continuous"/>
          </w:footnotePr>
          <w:type w:val="continuous"/>
          <w:pgSz w:w="11900" w:h="16840"/>
          <w:pgMar w:top="63" w:right="0" w:bottom="1212"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center"/>
      </w:pPr>
      <w:r>
        <w:rPr>
          <w:rStyle w:val="CharStyle20"/>
          <w:b/>
          <w:bCs/>
        </w:rPr>
        <w:t>Р Е Ш Е Н И Е</w:t>
      </w:r>
    </w:p>
    <w:p>
      <w:pPr>
        <w:pStyle w:val="Style19"/>
        <w:keepNext w:val="0"/>
        <w:keepLines w:val="0"/>
        <w:widowControl w:val="0"/>
        <w:shd w:val="clear" w:color="auto" w:fill="auto"/>
        <w:bidi w:val="0"/>
        <w:spacing w:before="0" w:after="280" w:line="240" w:lineRule="auto"/>
        <w:ind w:left="0" w:right="0" w:firstLine="0"/>
        <w:jc w:val="center"/>
      </w:pPr>
      <w:r>
        <w:rPr>
          <w:rStyle w:val="CharStyle20"/>
        </w:rPr>
        <w:t>по делу № 026/06/106-1891/2025</w:t>
        <w:br/>
        <w:t>о нарушении законодательства о закупках</w:t>
      </w:r>
    </w:p>
    <w:p>
      <w:pPr>
        <w:pStyle w:val="Style19"/>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6137275</wp:posOffset>
                </wp:positionH>
                <wp:positionV relativeFrom="paragraph">
                  <wp:posOffset>12700</wp:posOffset>
                </wp:positionV>
                <wp:extent cx="1057910" cy="250190"/>
                <wp:wrapSquare wrapText="left"/>
                <wp:docPr id="5" name="Shape 5"/>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г. Ставрополь</w:t>
                            </w:r>
                          </w:p>
                        </w:txbxContent>
                      </wps:txbx>
                      <wps:bodyPr wrap="none" lIns="0" tIns="0" rIns="0" bIns="0">
                        <a:noAutoFit/>
                      </wps:bodyPr>
                    </wps:wsp>
                  </a:graphicData>
                </a:graphic>
              </wp:anchor>
            </w:drawing>
          </mc:Choice>
          <mc:Fallback>
            <w:pict>
              <v:shape id="_x0000_s1031" type="#_x0000_t202" style="position:absolute;margin-left:483.25pt;margin-top:1.pt;width:83.299999999999997pt;height:19.699999999999999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г. Ставрополь</w:t>
                      </w:r>
                    </w:p>
                  </w:txbxContent>
                </v:textbox>
                <w10:wrap type="square" side="left" anchorx="page"/>
              </v:shape>
            </w:pict>
          </mc:Fallback>
        </mc:AlternateContent>
      </w:r>
      <w:r>
        <w:rPr>
          <w:rStyle w:val="CharStyle20"/>
        </w:rPr>
        <w:t>28.08.2025 года</w:t>
      </w:r>
    </w:p>
    <w:p>
      <w:pPr>
        <w:pStyle w:val="Style19"/>
        <w:keepNext w:val="0"/>
        <w:keepLines w:val="0"/>
        <w:widowControl w:val="0"/>
        <w:shd w:val="clear" w:color="auto" w:fill="auto"/>
        <w:bidi w:val="0"/>
        <w:spacing w:before="0" w:after="0" w:line="240" w:lineRule="auto"/>
        <w:ind w:left="0" w:right="0" w:firstLine="740"/>
        <w:jc w:val="left"/>
      </w:pPr>
      <w:r>
        <w:rPr>
          <w:rStyle w:val="CharStyle20"/>
        </w:rPr>
        <w:t>Комиссия Управления Федеральной антимонопольной службы по</w:t>
      </w:r>
    </w:p>
    <w:p>
      <w:pPr>
        <w:pStyle w:val="Style19"/>
        <w:keepNext w:val="0"/>
        <w:keepLines w:val="0"/>
        <w:widowControl w:val="0"/>
        <w:shd w:val="clear" w:color="auto" w:fill="auto"/>
        <w:bidi w:val="0"/>
        <w:spacing w:before="0" w:after="0" w:line="240" w:lineRule="auto"/>
        <w:ind w:left="0" w:right="0" w:firstLine="0"/>
        <w:jc w:val="left"/>
      </w:pPr>
      <w:r>
        <w:rPr>
          <w:rStyle w:val="CharStyle20"/>
        </w:rPr>
        <w:t>Ставропольскому краю по контролю в сфере закупок (далее – Комиссия) в составе:</w:t>
      </w:r>
    </w:p>
    <w:p>
      <w:pPr>
        <w:pStyle w:val="Style19"/>
        <w:keepNext w:val="0"/>
        <w:keepLines w:val="0"/>
        <w:widowControl w:val="0"/>
        <w:shd w:val="clear" w:color="auto" w:fill="auto"/>
        <w:bidi w:val="0"/>
        <w:spacing w:before="0" w:after="0" w:line="240" w:lineRule="auto"/>
        <w:ind w:left="0" w:right="0" w:firstLine="740"/>
        <w:jc w:val="left"/>
      </w:pPr>
      <w:r>
        <w:rPr>
          <w:rStyle w:val="CharStyle20"/>
        </w:rPr>
        <w:t>Председателя Комиссии, руководителя Управления Федеральной</w:t>
      </w:r>
    </w:p>
    <w:p>
      <w:pPr>
        <w:pStyle w:val="Style19"/>
        <w:keepNext w:val="0"/>
        <w:keepLines w:val="0"/>
        <w:widowControl w:val="0"/>
        <w:shd w:val="clear" w:color="auto" w:fill="auto"/>
        <w:bidi w:val="0"/>
        <w:spacing w:before="0" w:after="0" w:line="240" w:lineRule="auto"/>
        <w:ind w:left="0" w:right="0" w:firstLine="0"/>
        <w:jc w:val="left"/>
      </w:pPr>
      <w:r>
        <w:rPr>
          <w:rStyle w:val="CharStyle20"/>
        </w:rPr>
        <w:t>антимонопольной службы по Ставропольскому краю М.И. Исмаилова,</w:t>
      </w:r>
    </w:p>
    <w:p>
      <w:pPr>
        <w:pStyle w:val="Style19"/>
        <w:keepNext w:val="0"/>
        <w:keepLines w:val="0"/>
        <w:widowControl w:val="0"/>
        <w:shd w:val="clear" w:color="auto" w:fill="auto"/>
        <w:bidi w:val="0"/>
        <w:spacing w:before="0" w:after="0" w:line="240" w:lineRule="auto"/>
        <w:ind w:left="0" w:right="0" w:firstLine="740"/>
        <w:jc w:val="left"/>
      </w:pPr>
      <w:r>
        <w:rPr>
          <w:rStyle w:val="CharStyle20"/>
        </w:rPr>
        <w:t>Членов комиссии:</w:t>
      </w:r>
    </w:p>
    <w:p>
      <w:pPr>
        <w:pStyle w:val="Style19"/>
        <w:keepNext w:val="0"/>
        <w:keepLines w:val="0"/>
        <w:widowControl w:val="0"/>
        <w:shd w:val="clear" w:color="auto" w:fill="auto"/>
        <w:bidi w:val="0"/>
        <w:spacing w:before="0" w:after="0" w:line="240" w:lineRule="auto"/>
        <w:ind w:left="0" w:right="0" w:firstLine="740"/>
        <w:jc w:val="left"/>
      </w:pPr>
      <w:r>
        <w:rPr>
          <w:rStyle w:val="CharStyle20"/>
        </w:rPr>
        <w:t>начальника отдела контроля закупок Управления Федеральной</w:t>
      </w:r>
    </w:p>
    <w:p>
      <w:pPr>
        <w:pStyle w:val="Style19"/>
        <w:keepNext w:val="0"/>
        <w:keepLines w:val="0"/>
        <w:widowControl w:val="0"/>
        <w:shd w:val="clear" w:color="auto" w:fill="auto"/>
        <w:bidi w:val="0"/>
        <w:spacing w:before="0" w:after="0" w:line="240" w:lineRule="auto"/>
        <w:ind w:left="0" w:right="0" w:firstLine="0"/>
        <w:jc w:val="left"/>
      </w:pPr>
      <w:r>
        <w:rPr>
          <w:rStyle w:val="CharStyle20"/>
        </w:rPr>
        <w:t>антимонопольной службы по Ставропольскому краю Н.Г. Пызиной,</w:t>
      </w:r>
    </w:p>
    <w:p>
      <w:pPr>
        <w:pStyle w:val="Style19"/>
        <w:keepNext w:val="0"/>
        <w:keepLines w:val="0"/>
        <w:widowControl w:val="0"/>
        <w:shd w:val="clear" w:color="auto" w:fill="auto"/>
        <w:bidi w:val="0"/>
        <w:spacing w:before="0" w:after="0" w:line="240" w:lineRule="auto"/>
        <w:ind w:left="0" w:right="0" w:firstLine="740"/>
        <w:jc w:val="left"/>
      </w:pPr>
      <w:r>
        <w:rPr>
          <w:rStyle w:val="CharStyle20"/>
        </w:rPr>
        <w:t>специалиста-эксперта отдела контроля закупок Управления Федеральной</w:t>
      </w:r>
    </w:p>
    <w:p>
      <w:pPr>
        <w:pStyle w:val="Style19"/>
        <w:keepNext w:val="0"/>
        <w:keepLines w:val="0"/>
        <w:widowControl w:val="0"/>
        <w:shd w:val="clear" w:color="auto" w:fill="auto"/>
        <w:bidi w:val="0"/>
        <w:spacing w:before="0" w:after="280" w:line="240" w:lineRule="auto"/>
        <w:ind w:left="0" w:right="0" w:firstLine="0"/>
        <w:jc w:val="left"/>
      </w:pPr>
      <w:r>
        <w:rPr>
          <w:rStyle w:val="CharStyle20"/>
        </w:rPr>
        <w:t>антимонопольной службы по Ставропольскому краю П.В. Поповой,</w:t>
      </w:r>
    </w:p>
    <w:p>
      <w:pPr>
        <w:pStyle w:val="Style19"/>
        <w:keepNext w:val="0"/>
        <w:keepLines w:val="0"/>
        <w:widowControl w:val="0"/>
        <w:shd w:val="clear" w:color="auto" w:fill="auto"/>
        <w:bidi w:val="0"/>
        <w:spacing w:before="0" w:after="0" w:line="240" w:lineRule="auto"/>
        <w:ind w:left="0" w:right="0" w:firstLine="740"/>
        <w:jc w:val="left"/>
      </w:pPr>
      <w:r>
        <w:rPr>
          <w:rStyle w:val="CharStyle20"/>
        </w:rPr>
        <w:t>в присутствии представителей:</w:t>
      </w:r>
    </w:p>
    <w:p>
      <w:pPr>
        <w:pStyle w:val="Style19"/>
        <w:keepNext w:val="0"/>
        <w:keepLines w:val="0"/>
        <w:widowControl w:val="0"/>
        <w:shd w:val="clear" w:color="auto" w:fill="auto"/>
        <w:bidi w:val="0"/>
        <w:spacing w:before="0" w:after="0" w:line="240" w:lineRule="auto"/>
        <w:ind w:left="0" w:right="0" w:firstLine="740"/>
        <w:jc w:val="left"/>
      </w:pPr>
      <w:r>
        <w:rPr>
          <w:rStyle w:val="CharStyle20"/>
        </w:rPr>
        <w:t>от ООО «Энергоаудит СК» Ларионовой А.С., Кирхгеснера А.В.,</w:t>
      </w:r>
    </w:p>
    <w:p>
      <w:pPr>
        <w:pStyle w:val="Style19"/>
        <w:keepNext w:val="0"/>
        <w:keepLines w:val="0"/>
        <w:widowControl w:val="0"/>
        <w:shd w:val="clear" w:color="auto" w:fill="auto"/>
        <w:bidi w:val="0"/>
        <w:spacing w:before="0" w:after="200" w:line="240" w:lineRule="auto"/>
        <w:ind w:left="0" w:right="0" w:firstLine="740"/>
        <w:jc w:val="left"/>
      </w:pPr>
      <w:r>
        <w:rPr>
          <w:rStyle w:val="CharStyle20"/>
        </w:rPr>
        <w:t>от Комитета городского хозяйства администрации города Ставрополя</w:t>
      </w:r>
    </w:p>
    <w:p>
      <w:pPr>
        <w:pStyle w:val="Style26"/>
        <w:keepNext/>
        <w:keepLines/>
        <w:widowControl w:val="0"/>
        <w:shd w:val="clear" w:color="auto" w:fill="auto"/>
        <w:bidi w:val="0"/>
        <w:spacing w:before="0" w:line="240" w:lineRule="auto"/>
        <w:ind w:left="0" w:right="0" w:firstLine="0"/>
        <w:jc w:val="left"/>
      </w:pPr>
      <w:bookmarkStart w:id="2" w:name="bookmark2"/>
      <w:r>
        <w:rPr>
          <w:rStyle w:val="CharStyle27"/>
        </w:rPr>
        <w:t>1IIIIIIIIIIIIIIIIIIIIIII</w:t>
      </w:r>
      <w:bookmarkEnd w:id="2"/>
    </w:p>
    <w:p>
      <w:pPr>
        <w:pStyle w:val="Style19"/>
        <w:keepNext w:val="0"/>
        <w:keepLines w:val="0"/>
        <w:widowControl w:val="0"/>
        <w:shd w:val="clear" w:color="auto" w:fill="auto"/>
        <w:bidi w:val="0"/>
        <w:spacing w:before="0" w:after="0" w:line="240" w:lineRule="auto"/>
        <w:ind w:left="0" w:right="0" w:firstLine="0"/>
        <w:jc w:val="both"/>
      </w:pPr>
      <w:r>
        <w:rPr>
          <w:rStyle w:val="CharStyle20"/>
        </w:rPr>
        <w:t>Корецкой А.Н., Алейникова А.А.,</w:t>
      </w:r>
    </w:p>
    <w:p>
      <w:pPr>
        <w:pStyle w:val="Style19"/>
        <w:keepNext w:val="0"/>
        <w:keepLines w:val="0"/>
        <w:widowControl w:val="0"/>
        <w:shd w:val="clear" w:color="auto" w:fill="auto"/>
        <w:bidi w:val="0"/>
        <w:spacing w:before="0" w:after="280" w:line="240" w:lineRule="auto"/>
        <w:ind w:left="0" w:right="0" w:firstLine="720"/>
        <w:jc w:val="both"/>
      </w:pPr>
      <w:r>
        <w:rPr>
          <w:rStyle w:val="CharStyle20"/>
        </w:rPr>
        <w:t>от Комитета экономического развития и торговли администрации города Мещеряковой О.В. после перерыва,</w:t>
      </w:r>
    </w:p>
    <w:p>
      <w:pPr>
        <w:pStyle w:val="Style19"/>
        <w:keepNext w:val="0"/>
        <w:keepLines w:val="0"/>
        <w:widowControl w:val="0"/>
        <w:shd w:val="clear" w:color="auto" w:fill="auto"/>
        <w:bidi w:val="0"/>
        <w:spacing w:before="0" w:after="280" w:line="240" w:lineRule="auto"/>
        <w:ind w:left="0" w:right="0" w:firstLine="0"/>
        <w:jc w:val="center"/>
      </w:pPr>
      <w:r>
        <w:rPr>
          <w:rStyle w:val="CharStyle20"/>
          <w:b/>
          <w:bCs/>
        </w:rPr>
        <w:t>У С Т А Н О В И Л А</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21.08.2025 </w:t>
      </w:r>
      <w:r>
        <w:rPr>
          <w:rStyle w:val="CharStyle20"/>
        </w:rPr>
        <w:t xml:space="preserve">г. в Управление Федеральной антимонопольной службы по Ставропольскому краю (далее </w:t>
      </w:r>
      <w:r>
        <w:rPr>
          <w:rStyle w:val="CharStyle20"/>
          <w:lang w:val="en-US" w:eastAsia="en-US"/>
        </w:rPr>
        <w:t xml:space="preserve">– </w:t>
      </w:r>
      <w:r>
        <w:rPr>
          <w:rStyle w:val="CharStyle20"/>
        </w:rPr>
        <w:t xml:space="preserve">Управление) поступила жалоба ООО «Энергоаудит СК» (далее </w:t>
      </w:r>
      <w:r>
        <w:rPr>
          <w:rStyle w:val="CharStyle20"/>
          <w:lang w:val="en-US" w:eastAsia="en-US"/>
        </w:rPr>
        <w:t xml:space="preserve">– </w:t>
      </w:r>
      <w:r>
        <w:rPr>
          <w:rStyle w:val="CharStyle20"/>
        </w:rPr>
        <w:t xml:space="preserve">Заявитель) на действия Комитета городского хозяйства администрации города Ставрополя (далее </w:t>
      </w:r>
      <w:r>
        <w:rPr>
          <w:rStyle w:val="CharStyle20"/>
          <w:lang w:val="en-US" w:eastAsia="en-US"/>
        </w:rPr>
        <w:t xml:space="preserve">– </w:t>
      </w:r>
      <w:r>
        <w:rPr>
          <w:rStyle w:val="CharStyle20"/>
        </w:rPr>
        <w:t xml:space="preserve">Заказчик), Комитета экономического развития и торговли администрации города (далее </w:t>
      </w:r>
      <w:r>
        <w:rPr>
          <w:rStyle w:val="CharStyle20"/>
          <w:lang w:val="en-US" w:eastAsia="en-US"/>
        </w:rPr>
        <w:t xml:space="preserve">— </w:t>
      </w:r>
      <w:r>
        <w:rPr>
          <w:rStyle w:val="CharStyle20"/>
        </w:rPr>
        <w:t xml:space="preserve">уполномоченный орган) по факту осуществления закупки путем проведения аукциона в электронной форме </w:t>
      </w:r>
      <w:r>
        <w:rPr>
          <w:rStyle w:val="CharStyle20"/>
          <w:lang w:val="en-US" w:eastAsia="en-US"/>
        </w:rPr>
        <w:t xml:space="preserve">№0321300001125000426 </w:t>
      </w:r>
      <w:r>
        <w:rPr>
          <w:rStyle w:val="CharStyle20"/>
        </w:rPr>
        <w:t xml:space="preserve">«Работы по техническому, оперативному и аварийному обслуживанию сетей уличного освещения, находящихся в муниципальной собственности города Ставрополя» (далее </w:t>
      </w:r>
      <w:r>
        <w:rPr>
          <w:rStyle w:val="CharStyle20"/>
          <w:lang w:val="en-US" w:eastAsia="en-US"/>
        </w:rPr>
        <w:t xml:space="preserve">– </w:t>
      </w:r>
      <w:r>
        <w:rPr>
          <w:rStyle w:val="CharStyle20"/>
        </w:rPr>
        <w:t>закупка).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Жалоба в порядке ст. ст. </w:t>
      </w:r>
      <w:r>
        <w:rPr>
          <w:rStyle w:val="CharStyle20"/>
          <w:lang w:val="en-US" w:eastAsia="en-US"/>
        </w:rPr>
        <w:t xml:space="preserve">105, 106 </w:t>
      </w:r>
      <w:r>
        <w:rPr>
          <w:rStyle w:val="CharStyle20"/>
        </w:rPr>
        <w:t xml:space="preserve">Федерального закона от </w:t>
      </w:r>
      <w:r>
        <w:rPr>
          <w:rStyle w:val="CharStyle20"/>
          <w:lang w:val="en-US" w:eastAsia="en-US"/>
        </w:rPr>
        <w:t xml:space="preserve">05.04.2013 № </w:t>
      </w:r>
      <w:r>
        <w:rPr>
          <w:rStyle w:val="CharStyle20"/>
        </w:rPr>
        <w:t xml:space="preserve">44-ФЗ «О контрактной системе в сфере закупок товаров, работ, услуг для государственных и муниципальных нужд» (далее </w:t>
      </w:r>
      <w:r>
        <w:rPr>
          <w:rStyle w:val="CharStyle20"/>
          <w:lang w:val="en-US" w:eastAsia="en-US"/>
        </w:rPr>
        <w:t xml:space="preserve">- </w:t>
      </w:r>
      <w:r>
        <w:rPr>
          <w:rStyle w:val="CharStyle20"/>
        </w:rPr>
        <w:t xml:space="preserve">Закон </w:t>
      </w:r>
      <w:r>
        <w:rPr>
          <w:rStyle w:val="CharStyle20"/>
          <w:lang w:val="en-US" w:eastAsia="en-US"/>
        </w:rPr>
        <w:t xml:space="preserve">№ </w:t>
      </w:r>
      <w:r>
        <w:rPr>
          <w:rStyle w:val="CharStyle20"/>
        </w:rPr>
        <w:t xml:space="preserve">44-ФЗ) принята к рассмотрению и назначена на </w:t>
      </w:r>
      <w:r>
        <w:rPr>
          <w:rStyle w:val="CharStyle20"/>
          <w:lang w:val="en-US" w:eastAsia="en-US"/>
        </w:rPr>
        <w:t xml:space="preserve">27.08.2025 </w:t>
      </w:r>
      <w:r>
        <w:rPr>
          <w:rStyle w:val="CharStyle20"/>
        </w:rPr>
        <w:t>г. с вызовом сторон по делу.</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27.08.2025 </w:t>
      </w:r>
      <w:r>
        <w:rPr>
          <w:rStyle w:val="CharStyle20"/>
        </w:rPr>
        <w:t xml:space="preserve">г. в заседании Комиссии объявлен перерыв до </w:t>
      </w:r>
      <w:r>
        <w:rPr>
          <w:rStyle w:val="CharStyle20"/>
          <w:lang w:val="en-US" w:eastAsia="en-US"/>
        </w:rPr>
        <w:t xml:space="preserve">28.08.2025 </w:t>
      </w:r>
      <w:r>
        <w:rPr>
          <w:rStyle w:val="CharStyle20"/>
        </w:rPr>
        <w:t>г. в целях получения дополнительной информации от сторон.</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28.08.2025 </w:t>
      </w:r>
      <w:r>
        <w:rPr>
          <w:rStyle w:val="CharStyle20"/>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20"/>
          <w:lang w:val="en-US" w:eastAsia="en-US"/>
        </w:rPr>
        <w:t xml:space="preserve">99 </w:t>
      </w:r>
      <w:r>
        <w:rPr>
          <w:rStyle w:val="CharStyle20"/>
        </w:rPr>
        <w:t>Закона №44-ФЗ внеплановую проверку закупки установила следующее:</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14.08.2025 </w:t>
      </w:r>
      <w:r>
        <w:rPr>
          <w:rStyle w:val="CharStyle20"/>
        </w:rPr>
        <w:t xml:space="preserve">г. уполномоченным органом опубликовано извещение о проведении закупки (далее </w:t>
      </w:r>
      <w:r>
        <w:rPr>
          <w:rStyle w:val="CharStyle20"/>
          <w:lang w:val="en-US" w:eastAsia="en-US"/>
        </w:rPr>
        <w:t xml:space="preserve">– </w:t>
      </w:r>
      <w:r>
        <w:rPr>
          <w:rStyle w:val="CharStyle20"/>
        </w:rPr>
        <w:t>Извещение).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Начальная (максимальная) цена контракта составила </w:t>
      </w:r>
      <w:r>
        <w:rPr>
          <w:rStyle w:val="CharStyle20"/>
          <w:lang w:val="en-US" w:eastAsia="en-US"/>
        </w:rPr>
        <w:t xml:space="preserve">7 702 000,00 </w:t>
      </w:r>
      <w:r>
        <w:rPr>
          <w:rStyle w:val="CharStyle20"/>
        </w:rPr>
        <w:t>рублей.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Заявитель считает, что Извещение сформировано с нарушением требований Закона №44-ФЗ.</w:t>
      </w:r>
    </w:p>
    <w:p>
      <w:pPr>
        <w:pStyle w:val="Style19"/>
        <w:keepNext w:val="0"/>
        <w:keepLines w:val="0"/>
        <w:widowControl w:val="0"/>
        <w:numPr>
          <w:ilvl w:val="0"/>
          <w:numId w:val="1"/>
        </w:numPr>
        <w:shd w:val="clear" w:color="auto" w:fill="auto"/>
        <w:tabs>
          <w:tab w:pos="1107" w:val="left"/>
        </w:tabs>
        <w:bidi w:val="0"/>
        <w:spacing w:before="0" w:after="0" w:line="240" w:lineRule="auto"/>
        <w:ind w:left="0" w:right="0" w:firstLine="720"/>
        <w:jc w:val="both"/>
      </w:pPr>
      <w:r>
        <w:rPr>
          <w:rStyle w:val="CharStyle20"/>
        </w:rPr>
        <w:t xml:space="preserve">Согласно первому доводу жалобы «Заказчиком при описании предмета закупки не применены Правила формирования и ведения в единой информационной системе в сфере закупок каталога товаров, работ, услуг (далее КТРУ) для обеспечения государственных и муниципальных нужд, утвержденные Постановлением Правительства РФ от </w:t>
      </w:r>
      <w:r>
        <w:rPr>
          <w:rStyle w:val="CharStyle20"/>
          <w:lang w:val="en-US" w:eastAsia="en-US"/>
        </w:rPr>
        <w:t xml:space="preserve">08.02.2017 №145 </w:t>
      </w:r>
      <w:r>
        <w:rPr>
          <w:rStyle w:val="CharStyle20"/>
        </w:rPr>
        <w:t xml:space="preserve">(далее </w:t>
      </w:r>
      <w:r>
        <w:rPr>
          <w:rStyle w:val="CharStyle20"/>
          <w:lang w:val="en-US" w:eastAsia="en-US"/>
        </w:rPr>
        <w:t xml:space="preserve">– </w:t>
      </w:r>
      <w:r>
        <w:rPr>
          <w:rStyle w:val="CharStyle20"/>
        </w:rPr>
        <w:t xml:space="preserve">Правила), что является нарушением ч. </w:t>
      </w:r>
      <w:r>
        <w:rPr>
          <w:rStyle w:val="CharStyle20"/>
          <w:lang w:val="en-US" w:eastAsia="en-US"/>
        </w:rPr>
        <w:t xml:space="preserve">6 </w:t>
      </w:r>
      <w:r>
        <w:rPr>
          <w:rStyle w:val="CharStyle20"/>
        </w:rPr>
        <w:t xml:space="preserve">ст. </w:t>
      </w:r>
      <w:r>
        <w:rPr>
          <w:rStyle w:val="CharStyle20"/>
          <w:lang w:val="en-US" w:eastAsia="en-US"/>
        </w:rPr>
        <w:t xml:space="preserve">23 </w:t>
      </w:r>
      <w:r>
        <w:rPr>
          <w:rStyle w:val="CharStyle20"/>
        </w:rPr>
        <w:t>Закона №44-ФЗ».</w:t>
      </w:r>
    </w:p>
    <w:p>
      <w:pPr>
        <w:pStyle w:val="Style19"/>
        <w:keepNext w:val="0"/>
        <w:keepLines w:val="0"/>
        <w:widowControl w:val="0"/>
        <w:shd w:val="clear" w:color="auto" w:fill="auto"/>
        <w:bidi w:val="0"/>
        <w:spacing w:before="0" w:after="0" w:line="240" w:lineRule="auto"/>
        <w:ind w:left="0" w:right="0" w:firstLine="720"/>
        <w:jc w:val="both"/>
      </w:pPr>
      <w:r>
        <w:rPr>
          <w:rStyle w:val="CharStyle20"/>
        </w:rPr>
        <w:t>Комиссия признает довод жалобы обоснованным на основании следующего.</w:t>
      </w:r>
    </w:p>
    <w:p>
      <w:pPr>
        <w:pStyle w:val="Style19"/>
        <w:keepNext w:val="0"/>
        <w:keepLines w:val="0"/>
        <w:widowControl w:val="0"/>
        <w:shd w:val="clear" w:color="auto" w:fill="auto"/>
        <w:bidi w:val="0"/>
        <w:spacing w:before="0" w:after="280" w:line="240" w:lineRule="auto"/>
        <w:ind w:left="0" w:right="0" w:firstLine="720"/>
        <w:jc w:val="both"/>
      </w:pPr>
      <w:r>
        <w:rPr>
          <w:rStyle w:val="CharStyle20"/>
        </w:rPr>
        <w:t xml:space="preserve">В силу п. </w:t>
      </w:r>
      <w:r>
        <w:rPr>
          <w:rStyle w:val="CharStyle20"/>
          <w:lang w:val="en-US" w:eastAsia="en-US"/>
        </w:rPr>
        <w:t xml:space="preserve">5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42 </w:t>
      </w:r>
      <w:r>
        <w:rPr>
          <w:rStyle w:val="CharStyle20"/>
        </w:rPr>
        <w:t xml:space="preserve">Закона </w:t>
      </w:r>
      <w:r>
        <w:rPr>
          <w:rStyle w:val="CharStyle20"/>
          <w:lang w:val="en-US" w:eastAsia="en-US"/>
        </w:rPr>
        <w:t xml:space="preserve">№ </w:t>
      </w:r>
      <w:r>
        <w:rPr>
          <w:rStyle w:val="CharStyle20"/>
        </w:rPr>
        <w:t>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20"/>
          <w:lang w:val="en-US" w:eastAsia="en-US"/>
        </w:rPr>
        <w:t xml:space="preserve">6 </w:t>
      </w:r>
      <w:r>
        <w:rPr>
          <w:rStyle w:val="CharStyle20"/>
        </w:rPr>
        <w:t xml:space="preserve">статьи </w:t>
      </w:r>
      <w:r>
        <w:rPr>
          <w:rStyle w:val="CharStyle20"/>
          <w:lang w:val="en-US" w:eastAsia="en-US"/>
        </w:rPr>
        <w:t xml:space="preserve">23 </w:t>
      </w:r>
      <w:r>
        <w:rPr>
          <w:rStyle w:val="CharStyle20"/>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Частью </w:t>
      </w:r>
      <w:r>
        <w:rPr>
          <w:rStyle w:val="CharStyle20"/>
          <w:lang w:val="en-US" w:eastAsia="en-US"/>
        </w:rPr>
        <w:t xml:space="preserve">6 </w:t>
      </w:r>
      <w:r>
        <w:rPr>
          <w:rStyle w:val="CharStyle20"/>
        </w:rPr>
        <w:t xml:space="preserve">статьи </w:t>
      </w:r>
      <w:r>
        <w:rPr>
          <w:rStyle w:val="CharStyle20"/>
          <w:lang w:val="en-US" w:eastAsia="en-US"/>
        </w:rPr>
        <w:t xml:space="preserve">23 </w:t>
      </w:r>
      <w:r>
        <w:rPr>
          <w:rStyle w:val="CharStyle20"/>
        </w:rPr>
        <w:t xml:space="preserve">Закона </w:t>
      </w:r>
      <w:r>
        <w:rPr>
          <w:rStyle w:val="CharStyle20"/>
          <w:lang w:val="en-US" w:eastAsia="en-US"/>
        </w:rPr>
        <w:t xml:space="preserve">№ </w:t>
      </w:r>
      <w:r>
        <w:rPr>
          <w:rStyle w:val="CharStyle20"/>
        </w:rPr>
        <w:t>44-ФЗ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Постановлением Правительства РФ от </w:t>
      </w:r>
      <w:r>
        <w:rPr>
          <w:rStyle w:val="CharStyle20"/>
          <w:lang w:val="en-US" w:eastAsia="en-US"/>
        </w:rPr>
        <w:t xml:space="preserve">08.02.2017 № 145 </w:t>
      </w:r>
      <w:r>
        <w:rPr>
          <w:rStyle w:val="CharStyle20"/>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установлены Правила использования каталога товаров, работ, услуг для обеспечения государственных и муниципальных нужд (далее </w:t>
      </w:r>
      <w:r>
        <w:rPr>
          <w:rStyle w:val="CharStyle20"/>
          <w:lang w:val="en-US" w:eastAsia="en-US"/>
        </w:rPr>
        <w:t xml:space="preserve">- </w:t>
      </w:r>
      <w:r>
        <w:rPr>
          <w:rStyle w:val="CharStyle20"/>
        </w:rPr>
        <w:t xml:space="preserve">Правила </w:t>
      </w:r>
      <w:r>
        <w:rPr>
          <w:rStyle w:val="CharStyle20"/>
          <w:lang w:val="en-US" w:eastAsia="en-US"/>
        </w:rPr>
        <w:t>№ 145).</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 </w:t>
      </w:r>
      <w:r>
        <w:rPr>
          <w:rStyle w:val="CharStyle20"/>
          <w:lang w:val="en-US" w:eastAsia="en-US"/>
        </w:rPr>
        <w:t xml:space="preserve">4 </w:t>
      </w:r>
      <w:r>
        <w:rPr>
          <w:rStyle w:val="CharStyle20"/>
        </w:rPr>
        <w:t xml:space="preserve">Правил </w:t>
      </w:r>
      <w:r>
        <w:rPr>
          <w:rStyle w:val="CharStyle20"/>
          <w:lang w:val="en-US" w:eastAsia="en-US"/>
        </w:rPr>
        <w:t xml:space="preserve">№ 145 </w:t>
      </w:r>
      <w:r>
        <w:rPr>
          <w:rStyle w:val="CharStyle20"/>
        </w:rPr>
        <w:t xml:space="preserve">Заказчики обязаны применять информацию, включенную в позицию каталога в соответствии с подпунктами "а" </w:t>
      </w:r>
      <w:r>
        <w:rPr>
          <w:rStyle w:val="CharStyle20"/>
          <w:lang w:val="en-US" w:eastAsia="en-US"/>
        </w:rPr>
        <w:t xml:space="preserve">- </w:t>
      </w:r>
      <w:r>
        <w:rPr>
          <w:rStyle w:val="CharStyle20"/>
        </w:rPr>
        <w:t xml:space="preserve">"г" и "е" </w:t>
      </w:r>
      <w:r>
        <w:rPr>
          <w:rStyle w:val="CharStyle20"/>
          <w:lang w:val="en-US" w:eastAsia="en-US"/>
        </w:rPr>
        <w:t xml:space="preserve">- </w:t>
      </w:r>
      <w:r>
        <w:rPr>
          <w:rStyle w:val="CharStyle20"/>
        </w:rPr>
        <w:t xml:space="preserve">"з" пункта </w:t>
      </w:r>
      <w:r>
        <w:rPr>
          <w:rStyle w:val="CharStyle20"/>
          <w:lang w:val="en-US" w:eastAsia="en-US"/>
        </w:rPr>
        <w:t xml:space="preserve">10 </w:t>
      </w:r>
      <w:r>
        <w:rPr>
          <w:rStyle w:val="CharStyle20"/>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20"/>
          <w:lang w:val="en-US" w:eastAsia="en-US"/>
        </w:rPr>
        <w:t xml:space="preserve">8 </w:t>
      </w:r>
      <w:r>
        <w:rPr>
          <w:rStyle w:val="CharStyle20"/>
        </w:rPr>
        <w:t xml:space="preserve">февраля </w:t>
      </w:r>
      <w:r>
        <w:rPr>
          <w:rStyle w:val="CharStyle20"/>
          <w:lang w:val="en-US" w:eastAsia="en-US"/>
        </w:rPr>
        <w:t xml:space="preserve">2017 </w:t>
      </w:r>
      <w:r>
        <w:rPr>
          <w:rStyle w:val="CharStyle20"/>
        </w:rPr>
        <w:t xml:space="preserve">г. </w:t>
      </w:r>
      <w:r>
        <w:rPr>
          <w:rStyle w:val="CharStyle20"/>
          <w:lang w:val="en-US" w:eastAsia="en-US"/>
        </w:rPr>
        <w:t xml:space="preserve">№ 145 </w:t>
      </w:r>
      <w:r>
        <w:rPr>
          <w:rStyle w:val="CharStyle2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9"/>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rStyle w:val="CharStyle20"/>
        </w:rPr>
        <w:t>наименование товара, работы, услуги;</w:t>
      </w:r>
    </w:p>
    <w:p>
      <w:pPr>
        <w:pStyle w:val="Style19"/>
        <w:keepNext w:val="0"/>
        <w:keepLines w:val="0"/>
        <w:widowControl w:val="0"/>
        <w:numPr>
          <w:ilvl w:val="0"/>
          <w:numId w:val="3"/>
        </w:numPr>
        <w:shd w:val="clear" w:color="auto" w:fill="auto"/>
        <w:tabs>
          <w:tab w:pos="1142" w:val="left"/>
        </w:tabs>
        <w:bidi w:val="0"/>
        <w:spacing w:before="0" w:after="0" w:line="240" w:lineRule="auto"/>
        <w:ind w:left="0" w:right="0" w:firstLine="720"/>
        <w:jc w:val="both"/>
      </w:pPr>
      <w:r>
        <w:rPr>
          <w:rStyle w:val="CharStyle20"/>
        </w:rPr>
        <w:t>единицы измерения количества товара, объема выполняемой работы, оказываемой услуги (при наличии);</w:t>
      </w:r>
    </w:p>
    <w:p>
      <w:pPr>
        <w:pStyle w:val="Style19"/>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rStyle w:val="CharStyle20"/>
        </w:rPr>
        <w:t>описание товара, работы, услуги (при наличии такого описания в позиции).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описанию объекта закупки (Приложение </w:t>
      </w:r>
      <w:r>
        <w:rPr>
          <w:rStyle w:val="CharStyle20"/>
          <w:lang w:val="en-US" w:eastAsia="en-US"/>
        </w:rPr>
        <w:t xml:space="preserve">1 </w:t>
      </w:r>
      <w:r>
        <w:rPr>
          <w:rStyle w:val="CharStyle20"/>
        </w:rPr>
        <w:t>к Извещению) Заказчиком применены следующие коды ОКПД2 к товарам:</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25.11.22.192 - </w:t>
      </w:r>
      <w:r>
        <w:rPr>
          <w:rStyle w:val="CharStyle20"/>
        </w:rPr>
        <w:t>Стойка вибрированная железобетонная;</w:t>
      </w:r>
    </w:p>
    <w:p>
      <w:pPr>
        <w:pStyle w:val="Style19"/>
        <w:keepNext w:val="0"/>
        <w:keepLines w:val="0"/>
        <w:widowControl w:val="0"/>
        <w:shd w:val="clear" w:color="auto" w:fill="auto"/>
        <w:bidi w:val="0"/>
        <w:spacing w:before="0" w:after="0" w:line="240" w:lineRule="auto"/>
        <w:ind w:left="0" w:right="0" w:firstLine="720"/>
        <w:jc w:val="both"/>
      </w:pPr>
      <w:r>
        <w:rPr>
          <w:rStyle w:val="CharStyle20"/>
          <w:lang w:val="en-US" w:eastAsia="en-US"/>
        </w:rPr>
        <w:t xml:space="preserve">25.11.22.192 — </w:t>
      </w:r>
      <w:r>
        <w:rPr>
          <w:rStyle w:val="CharStyle20"/>
        </w:rPr>
        <w:t>Опора;</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27.40.39.113 - </w:t>
      </w:r>
      <w:r>
        <w:rPr>
          <w:rStyle w:val="CharStyle20"/>
        </w:rPr>
        <w:t xml:space="preserve">Светильник светодиодный тип </w:t>
      </w:r>
      <w:r>
        <w:rPr>
          <w:rStyle w:val="CharStyle20"/>
          <w:lang w:val="en-US" w:eastAsia="en-US"/>
        </w:rPr>
        <w:t>1;</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27.40.39.119 - </w:t>
      </w:r>
      <w:r>
        <w:rPr>
          <w:rStyle w:val="CharStyle20"/>
        </w:rPr>
        <w:t>Светильник садово-парковый (цилиндрический);</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27.40.39.119 - </w:t>
      </w:r>
      <w:r>
        <w:rPr>
          <w:rStyle w:val="CharStyle20"/>
        </w:rPr>
        <w:t>Светильник садово-парковый (шарообразный);</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27.40.39.113 - </w:t>
      </w:r>
      <w:r>
        <w:rPr>
          <w:rStyle w:val="CharStyle20"/>
        </w:rPr>
        <w:t xml:space="preserve">Светильник светодиодный тип </w:t>
      </w:r>
      <w:r>
        <w:rPr>
          <w:rStyle w:val="CharStyle20"/>
          <w:lang w:val="en-US" w:eastAsia="en-US"/>
        </w:rPr>
        <w:t>2.</w:t>
      </w:r>
    </w:p>
    <w:p>
      <w:pPr>
        <w:pStyle w:val="Style19"/>
        <w:keepNext w:val="0"/>
        <w:keepLines w:val="0"/>
        <w:widowControl w:val="0"/>
        <w:shd w:val="clear" w:color="auto" w:fill="auto"/>
        <w:bidi w:val="0"/>
        <w:spacing w:before="0" w:after="0" w:line="240" w:lineRule="auto"/>
        <w:ind w:left="0" w:right="0" w:firstLine="820"/>
        <w:jc w:val="both"/>
      </w:pPr>
      <w:r>
        <w:rPr>
          <w:rStyle w:val="CharStyle20"/>
        </w:rPr>
        <w:t>Между тем, как указывает Заявитель, к указанным товарам имеются и обязательные к применению коды КТРУ, например:</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23.61.12.162-00000002 – </w:t>
      </w:r>
      <w:r>
        <w:rPr>
          <w:rStyle w:val="CharStyle20"/>
        </w:rPr>
        <w:t>Опора наружного освещения железобетонная;</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25.11.22.110-00000002 – </w:t>
      </w:r>
      <w:r>
        <w:rPr>
          <w:rStyle w:val="CharStyle20"/>
        </w:rPr>
        <w:t>Опора наружного освещения металлическая;</w:t>
      </w:r>
    </w:p>
    <w:p>
      <w:pPr>
        <w:pStyle w:val="Style19"/>
        <w:keepNext w:val="0"/>
        <w:keepLines w:val="0"/>
        <w:widowControl w:val="0"/>
        <w:shd w:val="clear" w:color="auto" w:fill="auto"/>
        <w:bidi w:val="0"/>
        <w:spacing w:before="0" w:after="0" w:line="240" w:lineRule="auto"/>
        <w:ind w:left="0" w:right="0" w:firstLine="820"/>
        <w:jc w:val="both"/>
      </w:pPr>
      <w:r>
        <w:rPr>
          <w:rStyle w:val="CharStyle20"/>
          <w:lang w:val="en-US" w:eastAsia="en-US"/>
        </w:rPr>
        <w:t xml:space="preserve">27.40.25.123-00000050 – </w:t>
      </w:r>
      <w:r>
        <w:rPr>
          <w:rStyle w:val="CharStyle20"/>
        </w:rPr>
        <w:t>Светильник наружного освещения.</w:t>
      </w:r>
    </w:p>
    <w:p>
      <w:pPr>
        <w:pStyle w:val="Style19"/>
        <w:keepNext w:val="0"/>
        <w:keepLines w:val="0"/>
        <w:widowControl w:val="0"/>
        <w:shd w:val="clear" w:color="auto" w:fill="auto"/>
        <w:bidi w:val="0"/>
        <w:spacing w:before="0" w:after="0" w:line="240" w:lineRule="auto"/>
        <w:ind w:left="0" w:right="0" w:firstLine="820"/>
        <w:jc w:val="both"/>
      </w:pPr>
      <w:r>
        <w:rPr>
          <w:rStyle w:val="CharStyle20"/>
        </w:rPr>
        <w:t xml:space="preserve">Указанные коды КТРУ имеют обязательные и необязательные для применения характеристики, совпадающие с характеристиками, установленными Заказчиком. Так, например, Заказчиком установлена характеристика Вид опор </w:t>
      </w:r>
      <w:r>
        <w:rPr>
          <w:rStyle w:val="CharStyle20"/>
          <w:lang w:val="en-US" w:eastAsia="en-US"/>
        </w:rPr>
        <w:t xml:space="preserve">- </w:t>
      </w:r>
      <w:r>
        <w:rPr>
          <w:rStyle w:val="CharStyle20"/>
        </w:rPr>
        <w:t xml:space="preserve">Опоры требуются силовые к товару «Стойка вибрированная железобетонная» ОКПД2 </w:t>
      </w:r>
      <w:r>
        <w:rPr>
          <w:rStyle w:val="CharStyle20"/>
          <w:lang w:val="en-US" w:eastAsia="en-US"/>
        </w:rPr>
        <w:t xml:space="preserve">— 25.11.22.192; </w:t>
      </w:r>
      <w:r>
        <w:rPr>
          <w:rStyle w:val="CharStyle20"/>
        </w:rPr>
        <w:t xml:space="preserve">Вид опор </w:t>
      </w:r>
      <w:r>
        <w:rPr>
          <w:rStyle w:val="CharStyle20"/>
          <w:lang w:val="en-US" w:eastAsia="en-US"/>
        </w:rPr>
        <w:t xml:space="preserve">- </w:t>
      </w:r>
      <w:r>
        <w:rPr>
          <w:rStyle w:val="CharStyle20"/>
        </w:rPr>
        <w:t xml:space="preserve">Опора требуется для установки консольных светильников, силовая к товару «Опора» ОКПД2 </w:t>
      </w:r>
      <w:r>
        <w:rPr>
          <w:rStyle w:val="CharStyle20"/>
          <w:lang w:val="en-US" w:eastAsia="en-US"/>
        </w:rPr>
        <w:t xml:space="preserve">— 25.11.22.192. </w:t>
      </w:r>
      <w:r>
        <w:rPr>
          <w:rStyle w:val="CharStyle20"/>
        </w:rPr>
        <w:t xml:space="preserve">При этом код КТРУ </w:t>
      </w:r>
      <w:r>
        <w:rPr>
          <w:rStyle w:val="CharStyle20"/>
          <w:lang w:val="en-US" w:eastAsia="en-US"/>
        </w:rPr>
        <w:t>23.61.12.162</w:t>
        <w:softHyphen/>
        <w:t xml:space="preserve">00000002 – </w:t>
      </w:r>
      <w:r>
        <w:rPr>
          <w:rStyle w:val="CharStyle20"/>
        </w:rPr>
        <w:t xml:space="preserve">Опора наружного освещения железобетонная имеет обязательную для применения характеристику </w:t>
      </w:r>
      <w:r>
        <w:rPr>
          <w:rStyle w:val="CharStyle20"/>
          <w:lang w:val="en-US" w:eastAsia="en-US"/>
        </w:rPr>
        <w:t xml:space="preserve">- </w:t>
      </w:r>
      <w:r>
        <w:rPr>
          <w:rStyle w:val="CharStyle20"/>
        </w:rPr>
        <w:t xml:space="preserve">Тип </w:t>
      </w:r>
      <w:r>
        <w:rPr>
          <w:rStyle w:val="CharStyle20"/>
          <w:lang w:val="en-US" w:eastAsia="en-US"/>
        </w:rPr>
        <w:t xml:space="preserve">- </w:t>
      </w:r>
      <w:r>
        <w:rPr>
          <w:rStyle w:val="CharStyle20"/>
        </w:rPr>
        <w:t>Силовая (С).</w:t>
      </w:r>
    </w:p>
    <w:p>
      <w:pPr>
        <w:pStyle w:val="Style19"/>
        <w:keepNext w:val="0"/>
        <w:keepLines w:val="0"/>
        <w:widowControl w:val="0"/>
        <w:shd w:val="clear" w:color="auto" w:fill="auto"/>
        <w:bidi w:val="0"/>
        <w:spacing w:before="0" w:after="0" w:line="240" w:lineRule="auto"/>
        <w:ind w:left="0" w:right="0" w:firstLine="820"/>
        <w:jc w:val="both"/>
      </w:pPr>
      <w:r>
        <w:rPr>
          <w:rStyle w:val="CharStyle20"/>
        </w:rPr>
        <w:t>Применяя позицию КТРУ, Заказчик вправе устанавливать дополнительные характеристики товара, требуемые Заказчику.</w:t>
      </w:r>
    </w:p>
    <w:p>
      <w:pPr>
        <w:pStyle w:val="Style19"/>
        <w:keepNext w:val="0"/>
        <w:keepLines w:val="0"/>
        <w:widowControl w:val="0"/>
        <w:shd w:val="clear" w:color="auto" w:fill="auto"/>
        <w:bidi w:val="0"/>
        <w:spacing w:before="0" w:after="0" w:line="240" w:lineRule="auto"/>
        <w:ind w:left="0" w:right="0" w:firstLine="820"/>
        <w:jc w:val="both"/>
      </w:pPr>
      <w:r>
        <w:rPr>
          <w:rStyle w:val="CharStyle20"/>
        </w:rPr>
        <w:t>При этом, позиции КТРУ к указанному товару Заказчиком не применены.</w:t>
      </w:r>
    </w:p>
    <w:p>
      <w:pPr>
        <w:pStyle w:val="Style19"/>
        <w:keepNext w:val="0"/>
        <w:keepLines w:val="0"/>
        <w:widowControl w:val="0"/>
        <w:shd w:val="clear" w:color="auto" w:fill="auto"/>
        <w:bidi w:val="0"/>
        <w:spacing w:before="0" w:after="0" w:line="240" w:lineRule="auto"/>
        <w:ind w:left="0" w:right="0" w:firstLine="820"/>
        <w:jc w:val="both"/>
      </w:pPr>
      <w:r>
        <w:rPr>
          <w:rStyle w:val="CharStyle20"/>
        </w:rPr>
        <w:t xml:space="preserve">Таким образом, в действиях заказчика установлены нарушения п. </w:t>
      </w:r>
      <w:r>
        <w:rPr>
          <w:rStyle w:val="CharStyle20"/>
          <w:lang w:val="en-US" w:eastAsia="en-US"/>
        </w:rPr>
        <w:t xml:space="preserve">5 </w:t>
      </w:r>
      <w:r>
        <w:rPr>
          <w:rStyle w:val="CharStyle20"/>
        </w:rPr>
        <w:t xml:space="preserve">ч. </w:t>
      </w:r>
      <w:r>
        <w:rPr>
          <w:rStyle w:val="CharStyle20"/>
          <w:lang w:val="en-US" w:eastAsia="en-US"/>
        </w:rPr>
        <w:t xml:space="preserve">1, </w:t>
      </w:r>
      <w:r>
        <w:rPr>
          <w:rStyle w:val="CharStyle20"/>
        </w:rPr>
        <w:t xml:space="preserve">п. </w:t>
      </w:r>
      <w:r>
        <w:rPr>
          <w:rStyle w:val="CharStyle20"/>
          <w:lang w:val="en-US" w:eastAsia="en-US"/>
        </w:rPr>
        <w:t xml:space="preserve">1 </w:t>
      </w:r>
      <w:r>
        <w:rPr>
          <w:rStyle w:val="CharStyle20"/>
        </w:rPr>
        <w:t xml:space="preserve">ч. </w:t>
      </w:r>
      <w:r>
        <w:rPr>
          <w:rStyle w:val="CharStyle20"/>
          <w:lang w:val="en-US" w:eastAsia="en-US"/>
        </w:rPr>
        <w:t xml:space="preserve">2 </w:t>
      </w:r>
      <w:r>
        <w:rPr>
          <w:rStyle w:val="CharStyle20"/>
        </w:rPr>
        <w:t xml:space="preserve">ст. </w:t>
      </w:r>
      <w:r>
        <w:rPr>
          <w:rStyle w:val="CharStyle20"/>
          <w:lang w:val="en-US" w:eastAsia="en-US"/>
        </w:rPr>
        <w:t xml:space="preserve">42 </w:t>
      </w:r>
      <w:r>
        <w:rPr>
          <w:rStyle w:val="CharStyle20"/>
        </w:rPr>
        <w:t xml:space="preserve">Закона </w:t>
      </w:r>
      <w:r>
        <w:rPr>
          <w:rStyle w:val="CharStyle20"/>
          <w:lang w:val="en-US" w:eastAsia="en-US"/>
        </w:rPr>
        <w:t xml:space="preserve">№ </w:t>
      </w:r>
      <w:r>
        <w:rPr>
          <w:rStyle w:val="CharStyle20"/>
        </w:rPr>
        <w:t xml:space="preserve">44-ФЗ, Правил </w:t>
      </w:r>
      <w:r>
        <w:rPr>
          <w:rStyle w:val="CharStyle20"/>
          <w:lang w:val="en-US" w:eastAsia="en-US"/>
        </w:rPr>
        <w:t>№ 145.</w:t>
      </w:r>
    </w:p>
    <w:p>
      <w:pPr>
        <w:pStyle w:val="Style19"/>
        <w:keepNext w:val="0"/>
        <w:keepLines w:val="0"/>
        <w:widowControl w:val="0"/>
        <w:shd w:val="clear" w:color="auto" w:fill="auto"/>
        <w:bidi w:val="0"/>
        <w:spacing w:before="0" w:after="0" w:line="240" w:lineRule="auto"/>
        <w:ind w:left="0" w:right="0" w:firstLine="820"/>
        <w:jc w:val="both"/>
      </w:pPr>
      <w:r>
        <w:rPr>
          <w:rStyle w:val="CharStyle20"/>
        </w:rPr>
        <w:t xml:space="preserve">Довод жалобы </w:t>
      </w:r>
      <w:r>
        <w:rPr>
          <w:rStyle w:val="CharStyle20"/>
          <w:lang w:val="en-US" w:eastAsia="en-US"/>
        </w:rPr>
        <w:t xml:space="preserve">№1 </w:t>
      </w:r>
      <w:r>
        <w:rPr>
          <w:rStyle w:val="CharStyle20"/>
        </w:rPr>
        <w:t>признается обоснованным.</w:t>
      </w:r>
    </w:p>
    <w:p>
      <w:pPr>
        <w:pStyle w:val="Style19"/>
        <w:keepNext w:val="0"/>
        <w:keepLines w:val="0"/>
        <w:widowControl w:val="0"/>
        <w:numPr>
          <w:ilvl w:val="0"/>
          <w:numId w:val="1"/>
        </w:numPr>
        <w:shd w:val="clear" w:color="auto" w:fill="auto"/>
        <w:tabs>
          <w:tab w:pos="1122" w:val="left"/>
        </w:tabs>
        <w:bidi w:val="0"/>
        <w:spacing w:before="0" w:after="0" w:line="240" w:lineRule="auto"/>
        <w:ind w:left="0" w:right="0" w:firstLine="820"/>
        <w:jc w:val="both"/>
      </w:pPr>
      <w:r>
        <w:rPr>
          <w:rStyle w:val="CharStyle20"/>
        </w:rPr>
        <w:t>Согласно второму доводу жалобы Заявитель считает, что «При описании предмета закупки Заказчиком допущены нечеткие, противоречивые параметры закупки».</w:t>
      </w:r>
    </w:p>
    <w:p>
      <w:pPr>
        <w:pStyle w:val="Style28"/>
        <w:keepNext w:val="0"/>
        <w:keepLines w:val="0"/>
        <w:widowControl w:val="0"/>
        <w:shd w:val="clear" w:color="auto" w:fill="auto"/>
        <w:bidi w:val="0"/>
        <w:spacing w:before="0" w:after="0" w:line="240" w:lineRule="auto"/>
        <w:ind w:left="0" w:right="0" w:firstLine="0"/>
        <w:jc w:val="both"/>
      </w:pPr>
      <w:r>
        <w:rPr>
          <w:rStyle w:val="CharStyle29"/>
        </w:rPr>
        <w:t xml:space="preserve">Так, например для позиции </w:t>
      </w:r>
      <w:r>
        <w:rPr>
          <w:rStyle w:val="CharStyle29"/>
          <w:lang w:val="en-US" w:eastAsia="en-US"/>
        </w:rPr>
        <w:t xml:space="preserve">39 </w:t>
      </w:r>
      <w:r>
        <w:rPr>
          <w:rStyle w:val="CharStyle29"/>
        </w:rPr>
        <w:t xml:space="preserve">Шкаф ШУНО (Идентификатор: </w:t>
      </w:r>
      <w:r>
        <w:rPr>
          <w:rStyle w:val="CharStyle29"/>
          <w:lang w:val="en-US" w:eastAsia="en-US"/>
        </w:rPr>
        <w:t xml:space="preserve">188590830) </w:t>
      </w:r>
      <w:r>
        <w:rPr>
          <w:rStyle w:val="CharStyle29"/>
        </w:rPr>
        <w:t>указано:</w:t>
      </w:r>
    </w:p>
    <w:tbl>
      <w:tblPr>
        <w:tblOverlap w:val="never"/>
        <w:jc w:val="center"/>
        <w:tblLayout w:type="fixed"/>
      </w:tblPr>
      <w:tblGrid>
        <w:gridCol w:w="1747"/>
        <w:gridCol w:w="4488"/>
        <w:gridCol w:w="4094"/>
      </w:tblGrid>
      <w:tr>
        <w:trPr>
          <w:trHeight w:val="1301"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Наименован ие характерист ики</w:t>
            </w:r>
          </w:p>
        </w:tc>
        <w:tc>
          <w:tcPr>
            <w:tcBorders>
              <w:top w:val="single" w:sz="4"/>
              <w:lef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pPr>
            <w:r>
              <w:rPr>
                <w:rStyle w:val="CharStyle31"/>
              </w:rPr>
              <w:t>Значение характеристики</w:t>
            </w:r>
          </w:p>
        </w:tc>
        <w:tc>
          <w:tcPr>
            <w:tcBorders>
              <w:top w:val="single" w:sz="4"/>
              <w:left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left"/>
            </w:pPr>
            <w:r>
              <w:rPr>
                <w:rStyle w:val="CharStyle31"/>
              </w:rPr>
              <w:t>Инструкция по заполнению характеристики в заявке</w:t>
            </w:r>
          </w:p>
        </w:tc>
      </w:tr>
      <w:tr>
        <w:trPr>
          <w:trHeight w:val="3235" w:hRule="exact"/>
        </w:trPr>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left"/>
            </w:pPr>
            <w:r>
              <w:rPr>
                <w:rStyle w:val="CharStyle31"/>
              </w:rPr>
              <w:t>Характерист ики щитка</w:t>
            </w:r>
          </w:p>
        </w:tc>
        <w:tc>
          <w:tcPr>
            <w:tcBorders>
              <w:top w:val="single" w:sz="4"/>
              <w:left w:val="single" w:sz="4"/>
              <w:bottom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both"/>
            </w:pPr>
            <w:r>
              <w:rPr>
                <w:rStyle w:val="CharStyle31"/>
              </w:rPr>
              <w:t>Номинальный ток вводного коммутационного аппарата не менее 400А. Максимально допустимое значение ожидаемого тока короткого замыкания должно быть как минимум 10кА. Климатическое исполнение щита У3, УХЛ3, УХЛ4. Габаритные размеры (ВхШхГ) до 1500х700х300мм.</w:t>
            </w:r>
          </w:p>
        </w:tc>
        <w:tc>
          <w:tcPr>
            <w:tcBorders>
              <w:top w:val="single" w:sz="4"/>
              <w:left w:val="single" w:sz="4"/>
              <w:bottom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left"/>
            </w:pPr>
            <w:r>
              <w:rPr>
                <w:rStyle w:val="CharStyle31"/>
              </w:rPr>
              <w:t>Участник закупки указывает в заявке конкретное значение характеристики</w:t>
            </w:r>
          </w:p>
        </w:tc>
      </w:tr>
    </w:tbl>
    <w:p>
      <w:pPr>
        <w:pStyle w:val="Style28"/>
        <w:keepNext w:val="0"/>
        <w:keepLines w:val="0"/>
        <w:widowControl w:val="0"/>
        <w:shd w:val="clear" w:color="auto" w:fill="auto"/>
        <w:bidi w:val="0"/>
        <w:spacing w:before="0" w:after="0" w:line="240" w:lineRule="auto"/>
        <w:ind w:left="0" w:right="0" w:firstLine="0"/>
        <w:jc w:val="right"/>
      </w:pPr>
      <w:r>
        <w:rPr>
          <w:rStyle w:val="CharStyle29"/>
        </w:rPr>
        <w:t xml:space="preserve">Согласно «ГОСТ </w:t>
      </w:r>
      <w:r>
        <w:rPr>
          <w:rStyle w:val="CharStyle29"/>
          <w:lang w:val="en-US" w:eastAsia="en-US"/>
        </w:rPr>
        <w:t xml:space="preserve">15150-69. </w:t>
      </w:r>
      <w:r>
        <w:rPr>
          <w:rStyle w:val="CharStyle29"/>
        </w:rPr>
        <w:t>Межгосударственный стандарт. Машины, приборы и другие технические изделия. Исполнения для различных климатических районов.</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Категории, условия эксплуатации, хранения и транспортирования в части воздействия климатических факторов внешней среды» (далее </w:t>
      </w:r>
      <w:r>
        <w:rPr>
          <w:rStyle w:val="CharStyle20"/>
          <w:lang w:val="en-US" w:eastAsia="en-US"/>
        </w:rPr>
        <w:t xml:space="preserve">- </w:t>
      </w:r>
      <w:r>
        <w:rPr>
          <w:rStyle w:val="CharStyle20"/>
        </w:rPr>
        <w:t xml:space="preserve">ГОСТ </w:t>
      </w:r>
      <w:r>
        <w:rPr>
          <w:rStyle w:val="CharStyle20"/>
          <w:lang w:val="en-US" w:eastAsia="en-US"/>
        </w:rPr>
        <w:t xml:space="preserve">15150-69) </w:t>
      </w:r>
      <w:r>
        <w:rPr>
          <w:rStyle w:val="CharStyle20"/>
        </w:rPr>
        <w:t>буквы У, УХЛ обозначают группу макроклиматических районов, а цифры обозначают категорию размещения изделий.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При этом по табл. </w:t>
      </w:r>
      <w:r>
        <w:rPr>
          <w:rStyle w:val="CharStyle20"/>
          <w:lang w:val="en-US" w:eastAsia="en-US"/>
        </w:rPr>
        <w:t xml:space="preserve">2, </w:t>
      </w:r>
      <w:r>
        <w:rPr>
          <w:rStyle w:val="CharStyle20"/>
        </w:rPr>
        <w:t xml:space="preserve">п. </w:t>
      </w:r>
      <w:r>
        <w:rPr>
          <w:rStyle w:val="CharStyle20"/>
          <w:lang w:val="en-US" w:eastAsia="en-US"/>
        </w:rPr>
        <w:t xml:space="preserve">2.7 </w:t>
      </w:r>
      <w:r>
        <w:rPr>
          <w:rStyle w:val="CharStyle20"/>
        </w:rPr>
        <w:t xml:space="preserve">ГОСТ </w:t>
      </w:r>
      <w:r>
        <w:rPr>
          <w:rStyle w:val="CharStyle20"/>
          <w:lang w:val="en-US" w:eastAsia="en-US"/>
        </w:rPr>
        <w:t xml:space="preserve">15150-69 </w:t>
      </w:r>
      <w:r>
        <w:rPr>
          <w:rStyle w:val="CharStyle20"/>
        </w:rPr>
        <w:t xml:space="preserve">цифра </w:t>
      </w:r>
      <w:r>
        <w:rPr>
          <w:rStyle w:val="CharStyle20"/>
          <w:lang w:val="en-US" w:eastAsia="en-US"/>
        </w:rPr>
        <w:t xml:space="preserve">3 </w:t>
      </w:r>
      <w:r>
        <w:rPr>
          <w:rStyle w:val="CharStyle20"/>
        </w:rPr>
        <w:t xml:space="preserve">и цифра </w:t>
      </w:r>
      <w:r>
        <w:rPr>
          <w:rStyle w:val="CharStyle20"/>
          <w:lang w:val="en-US" w:eastAsia="en-US"/>
        </w:rPr>
        <w:t xml:space="preserve">4 </w:t>
      </w:r>
      <w:r>
        <w:rPr>
          <w:rStyle w:val="CharStyle20"/>
        </w:rPr>
        <w:t xml:space="preserve">обозначают категорию размещения </w:t>
      </w:r>
      <w:r>
        <w:rPr>
          <w:rStyle w:val="CharStyle20"/>
          <w:lang w:val="en-US" w:eastAsia="en-US"/>
        </w:rPr>
        <w:t xml:space="preserve">– </w:t>
      </w:r>
      <w:r>
        <w:rPr>
          <w:rStyle w:val="CharStyle20"/>
        </w:rPr>
        <w:t>«Для эксплуатации в помещениях с различными условиями».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Описание объекта закупки содержит перечень подлежащих обслуживанию ШУНО (Раздел </w:t>
      </w:r>
      <w:r>
        <w:rPr>
          <w:rStyle w:val="CharStyle20"/>
          <w:lang w:val="en-US" w:eastAsia="en-US"/>
        </w:rPr>
        <w:t xml:space="preserve">3. </w:t>
      </w:r>
      <w:r>
        <w:rPr>
          <w:rStyle w:val="CharStyle20"/>
        </w:rPr>
        <w:t xml:space="preserve">Перечень обслуживаемых в </w:t>
      </w:r>
      <w:r>
        <w:rPr>
          <w:rStyle w:val="CharStyle20"/>
          <w:lang w:val="en-US" w:eastAsia="en-US"/>
        </w:rPr>
        <w:t xml:space="preserve">2025 </w:t>
      </w:r>
      <w:r>
        <w:rPr>
          <w:rStyle w:val="CharStyle20"/>
        </w:rPr>
        <w:t xml:space="preserve">году объектов уличного освещения), согласно которому общее количество шкафов ШУНО </w:t>
      </w:r>
      <w:r>
        <w:rPr>
          <w:rStyle w:val="CharStyle20"/>
          <w:lang w:val="en-US" w:eastAsia="en-US"/>
        </w:rPr>
        <w:t xml:space="preserve">- 106 </w:t>
      </w:r>
      <w:r>
        <w:rPr>
          <w:rStyle w:val="CharStyle20"/>
        </w:rPr>
        <w:t>шт.</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Представители Заявителя отметили, что все </w:t>
      </w:r>
      <w:r>
        <w:rPr>
          <w:rStyle w:val="CharStyle20"/>
          <w:lang w:val="en-US" w:eastAsia="en-US"/>
        </w:rPr>
        <w:t xml:space="preserve">106 </w:t>
      </w:r>
      <w:r>
        <w:rPr>
          <w:rStyle w:val="CharStyle20"/>
        </w:rPr>
        <w:t>шкафов ШУНО расположены на открытом воздухе (вне помещений), поэтому указанные Заказчиком параметры климатического исполнения недопустимы. Для установки ШУНО на открытом воздухе (вне помещений) применимо климатическое исполнение щита У1 или УХЛ1.</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силу ч. </w:t>
      </w:r>
      <w:r>
        <w:rPr>
          <w:rStyle w:val="CharStyle20"/>
          <w:lang w:val="en-US" w:eastAsia="en-US"/>
        </w:rPr>
        <w:t xml:space="preserve">2 </w:t>
      </w:r>
      <w:r>
        <w:rPr>
          <w:rStyle w:val="CharStyle20"/>
        </w:rPr>
        <w:t xml:space="preserve">ст. </w:t>
      </w:r>
      <w:r>
        <w:rPr>
          <w:rStyle w:val="CharStyle20"/>
          <w:lang w:val="en-US" w:eastAsia="en-US"/>
        </w:rPr>
        <w:t xml:space="preserve">33 </w:t>
      </w:r>
      <w:r>
        <w:rPr>
          <w:rStyle w:val="CharStyle20"/>
        </w:rPr>
        <w:t xml:space="preserve">Закона №44-ФЗ описание объекта закупки в соответствии с требованиями, указанными в части </w:t>
      </w:r>
      <w:r>
        <w:rPr>
          <w:rStyle w:val="CharStyle20"/>
          <w:lang w:val="en-US" w:eastAsia="en-US"/>
        </w:rPr>
        <w:t xml:space="preserve">1 </w:t>
      </w:r>
      <w:r>
        <w:rPr>
          <w:rStyle w:val="CharStyle2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Представители Заявителя пояснили Комиссии, что в городе Ставрополе шкаф ШУНО, находящийся в помещении, расположен на Александровской площади под фонтаном. Такое расположение редкое (их гораздо меньше 106-ти), большинство ШУНО расположены на улице.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Представители Заказчика на заседании Комиссии не отрицали факт того, что большая часть шкафов ШУНО, предусмотренных описанием объекта закупки, расположена на улице.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На основании изложенного Комиссия считает довод жалобы обоснованным. Действия Заказчика нарушают ч. </w:t>
      </w:r>
      <w:r>
        <w:rPr>
          <w:rStyle w:val="CharStyle20"/>
          <w:lang w:val="en-US" w:eastAsia="en-US"/>
        </w:rPr>
        <w:t xml:space="preserve">2 </w:t>
      </w:r>
      <w:r>
        <w:rPr>
          <w:rStyle w:val="CharStyle20"/>
        </w:rPr>
        <w:t xml:space="preserve">ст. </w:t>
      </w:r>
      <w:r>
        <w:rPr>
          <w:rStyle w:val="CharStyle20"/>
          <w:lang w:val="en-US" w:eastAsia="en-US"/>
        </w:rPr>
        <w:t xml:space="preserve">33 </w:t>
      </w:r>
      <w:r>
        <w:rPr>
          <w:rStyle w:val="CharStyle20"/>
        </w:rPr>
        <w:t>Закона №44-ФЗ.</w:t>
      </w:r>
    </w:p>
    <w:p>
      <w:pPr>
        <w:pStyle w:val="Style19"/>
        <w:keepNext w:val="0"/>
        <w:keepLines w:val="0"/>
        <w:widowControl w:val="0"/>
        <w:numPr>
          <w:ilvl w:val="1"/>
          <w:numId w:val="1"/>
        </w:numPr>
        <w:shd w:val="clear" w:color="auto" w:fill="auto"/>
        <w:tabs>
          <w:tab w:pos="1253" w:val="left"/>
        </w:tabs>
        <w:bidi w:val="0"/>
        <w:spacing w:before="0" w:after="0" w:line="240" w:lineRule="auto"/>
        <w:ind w:left="0" w:right="0" w:firstLine="720"/>
        <w:jc w:val="both"/>
      </w:pPr>
      <w:r>
        <w:rPr>
          <w:rStyle w:val="CharStyle20"/>
        </w:rPr>
        <w:t xml:space="preserve">В части довода жалобы </w:t>
      </w:r>
      <w:r>
        <w:rPr>
          <w:rStyle w:val="CharStyle20"/>
          <w:lang w:val="en-US" w:eastAsia="en-US"/>
        </w:rPr>
        <w:t xml:space="preserve">№2 </w:t>
      </w:r>
      <w:r>
        <w:rPr>
          <w:rStyle w:val="CharStyle20"/>
        </w:rPr>
        <w:t xml:space="preserve">Заявителем также обращено внимание Комиссии на не указание Заказчиком допустимой боковой нагрузки, на которую должна быть рассчитана опора, по позиции </w:t>
      </w:r>
      <w:r>
        <w:rPr>
          <w:rStyle w:val="CharStyle20"/>
          <w:lang w:val="en-US" w:eastAsia="en-US"/>
        </w:rPr>
        <w:t xml:space="preserve">67 </w:t>
      </w:r>
      <w:r>
        <w:rPr>
          <w:rStyle w:val="CharStyle20"/>
        </w:rPr>
        <w:t xml:space="preserve">Опора </w:t>
      </w:r>
      <w:r>
        <w:rPr>
          <w:rStyle w:val="CharStyle20"/>
          <w:lang w:val="en-US" w:eastAsia="en-US"/>
        </w:rPr>
        <w:t xml:space="preserve">- </w:t>
      </w:r>
      <w:r>
        <w:rPr>
          <w:rStyle w:val="CharStyle20"/>
        </w:rPr>
        <w:t>характеристика «вид опор».</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соответствии с п. </w:t>
      </w:r>
      <w:r>
        <w:rPr>
          <w:rStyle w:val="CharStyle20"/>
          <w:lang w:val="en-US" w:eastAsia="en-US"/>
        </w:rPr>
        <w:t xml:space="preserve">2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33 </w:t>
      </w:r>
      <w:r>
        <w:rPr>
          <w:rStyle w:val="CharStyle20"/>
        </w:rPr>
        <w:t xml:space="preserve">Закона </w:t>
      </w:r>
      <w:r>
        <w:rPr>
          <w:rStyle w:val="CharStyle20"/>
          <w:lang w:val="en-US" w:eastAsia="en-US"/>
        </w:rPr>
        <w:t xml:space="preserve">№ </w:t>
      </w:r>
      <w:r>
        <w:rPr>
          <w:rStyle w:val="CharStyle20"/>
        </w:rPr>
        <w:t>44-ФЗ установлено, что при составлении объекта закупки заказчик указывает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w:t>
      </w:r>
    </w:p>
    <w:p>
      <w:pPr>
        <w:pStyle w:val="Style19"/>
        <w:keepNext w:val="0"/>
        <w:keepLines w:val="0"/>
        <w:widowControl w:val="0"/>
        <w:shd w:val="clear" w:color="auto" w:fill="auto"/>
        <w:bidi w:val="0"/>
        <w:spacing w:before="0" w:after="0" w:line="240" w:lineRule="auto"/>
        <w:ind w:left="0" w:right="0" w:firstLine="0"/>
        <w:jc w:val="both"/>
      </w:pPr>
      <w:r>
        <w:rPr>
          <w:rStyle w:val="CharStyle20"/>
        </w:rPr>
        <w:t>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Определение характеристик товара (описание объекта закупки) относится исключительно к компетенции заказчиков с учетом их конкретных объективных потребностей.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При формировании описания объекта закупки заказчику в силу ст. </w:t>
      </w:r>
      <w:r>
        <w:rPr>
          <w:rStyle w:val="CharStyle20"/>
          <w:lang w:val="en-US" w:eastAsia="en-US"/>
        </w:rPr>
        <w:t xml:space="preserve">33 </w:t>
      </w:r>
      <w:r>
        <w:rPr>
          <w:rStyle w:val="CharStyle20"/>
        </w:rPr>
        <w:t xml:space="preserve">Закона </w:t>
      </w:r>
      <w:r>
        <w:rPr>
          <w:rStyle w:val="CharStyle20"/>
          <w:lang w:val="en-US" w:eastAsia="en-US"/>
        </w:rPr>
        <w:t xml:space="preserve">№ </w:t>
      </w:r>
      <w:r>
        <w:rPr>
          <w:rStyle w:val="CharStyle20"/>
        </w:rPr>
        <w:t>44-ФЗ предоставлены полномочия по самостоятельному определению параметров и характеристик товара, удовлетворяющих его потребностям, которые отражают специфику его деятельности и будут иметь существенное значение для последующего использования товара при оказании соответствующего вида государственных услуг.</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При этом Заявителем не указано оснований для необходимости установления данного требования, в связи с чем довод о необходимости указания Заказчиком допустимой боковой нагрузки, на которую должна быть рассчитана опора, не является обоснованным.</w:t>
      </w:r>
    </w:p>
    <w:p>
      <w:pPr>
        <w:pStyle w:val="Style19"/>
        <w:keepNext w:val="0"/>
        <w:keepLines w:val="0"/>
        <w:widowControl w:val="0"/>
        <w:numPr>
          <w:ilvl w:val="1"/>
          <w:numId w:val="1"/>
        </w:numPr>
        <w:shd w:val="clear" w:color="auto" w:fill="auto"/>
        <w:tabs>
          <w:tab w:pos="1253" w:val="left"/>
        </w:tabs>
        <w:bidi w:val="0"/>
        <w:spacing w:before="0" w:after="0" w:line="240" w:lineRule="auto"/>
        <w:ind w:left="0" w:right="0" w:firstLine="720"/>
        <w:jc w:val="both"/>
      </w:pPr>
      <w:r>
        <w:rPr>
          <w:rStyle w:val="CharStyle20"/>
        </w:rPr>
        <w:t>В отношении поддовода жалобы о возможности определения класса арматуры только после проведения лабораторных испытаний, Комиссия также не находит оснований для признания его обоснованным в связи со следующим.</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Относительно позиции Стойка вибрированная железобетонная (Идентификатор: </w:t>
      </w:r>
      <w:r>
        <w:rPr>
          <w:rStyle w:val="CharStyle20"/>
          <w:lang w:val="en-US" w:eastAsia="en-US"/>
        </w:rPr>
        <w:t xml:space="preserve">188590852) </w:t>
      </w:r>
      <w:r>
        <w:rPr>
          <w:rStyle w:val="CharStyle20"/>
        </w:rPr>
        <w:t>Заказчиком установлены виды армирования железобетонных опор. Согласно инструкции по заполнению заявки участник может указать любые из перечисленных видов.</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требованиям п. </w:t>
      </w:r>
      <w:r>
        <w:rPr>
          <w:rStyle w:val="CharStyle20"/>
          <w:lang w:val="en-US" w:eastAsia="en-US"/>
        </w:rPr>
        <w:t xml:space="preserve">4.5.4 </w:t>
      </w:r>
      <w:r>
        <w:rPr>
          <w:rStyle w:val="CharStyle20"/>
        </w:rPr>
        <w:t xml:space="preserve">«ГОСТ Р </w:t>
      </w:r>
      <w:r>
        <w:rPr>
          <w:rStyle w:val="CharStyle20"/>
          <w:lang w:val="en-US" w:eastAsia="en-US"/>
        </w:rPr>
        <w:t xml:space="preserve">70306-2022. </w:t>
      </w:r>
      <w:r>
        <w:rPr>
          <w:rStyle w:val="CharStyle20"/>
        </w:rPr>
        <w:t>Национальный стандарт Российской Федерации. Стойки железобетонные центрифугированные кольцевого сечения для производственных зданий и инженерных сооружений. Технические условия» «арматура и закладные изделия должны быть изготовлены из стали классов и марок по действующим нормативным документам, подтвержденных паспортами (сопровождающей документацией) на каждую партию стали.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Пространственные каркасы стоек следует изготовлять из продольных арматурных стержней и навиваемой на них проволочной арматуры (спирали), которая приваривается к продольным стержням контактной точечной сваркой.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качестве продольной арматуры стоек следует использовать стержневую арматуру периодического профиля классов А400, А500, А600, а поперечной арматуры (спирали) </w:t>
      </w:r>
      <w:r>
        <w:rPr>
          <w:rStyle w:val="CharStyle20"/>
          <w:lang w:val="en-US" w:eastAsia="en-US"/>
        </w:rPr>
        <w:t xml:space="preserve">- </w:t>
      </w:r>
      <w:r>
        <w:rPr>
          <w:rStyle w:val="CharStyle20"/>
        </w:rPr>
        <w:t xml:space="preserve">арматурную проволоку периодического профиля классов В500 и Вр500 в соответствии с ГОСТ </w:t>
      </w:r>
      <w:r>
        <w:rPr>
          <w:rStyle w:val="CharStyle20"/>
          <w:lang w:val="en-US" w:eastAsia="en-US"/>
        </w:rPr>
        <w:t>13015».</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Приложению Б к «ГОСТ </w:t>
      </w:r>
      <w:r>
        <w:rPr>
          <w:rStyle w:val="CharStyle20"/>
          <w:lang w:val="en-US" w:eastAsia="en-US"/>
        </w:rPr>
        <w:t xml:space="preserve">13015-2012. </w:t>
      </w:r>
      <w:r>
        <w:rPr>
          <w:rStyle w:val="CharStyle20"/>
        </w:rPr>
        <w:t>Межгосударственный стандарт. Изделия бетонные и железобетонные для строительства. Общие технические требования. Правила приемки, маркировки, транспортирования и хранения» «Нормативные документы на методы определения фактических значений характеристик изделий и оценки их соответствия нормируемым значениям»:</w:t>
      </w:r>
      <w:r>
        <w:br w:type="page"/>
      </w:r>
    </w:p>
    <w:tbl>
      <w:tblPr>
        <w:tblOverlap w:val="never"/>
        <w:jc w:val="center"/>
        <w:tblLayout w:type="fixed"/>
      </w:tblPr>
      <w:tblGrid>
        <w:gridCol w:w="5107"/>
        <w:gridCol w:w="5107"/>
      </w:tblGrid>
      <w:tr>
        <w:trPr>
          <w:trHeight w:val="768"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rPr>
              <w:t>Наименование характеристики</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pPr>
            <w:r>
              <w:rPr>
                <w:rStyle w:val="CharStyle31"/>
              </w:rPr>
              <w:t>Методы определения и оценки фактических значений</w:t>
            </w:r>
          </w:p>
        </w:tc>
      </w:tr>
      <w:tr>
        <w:trPr>
          <w:trHeight w:val="773" w:hRule="exact"/>
        </w:trPr>
        <w:tc>
          <w:tcPr>
            <w:tcBorders>
              <w:top w:val="single" w:sz="4"/>
              <w:left w:val="single" w:sz="4"/>
              <w:bottom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Классы и марки арматурной стали и стали для закладных изделий</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По паспортам (по сопровождающей документации) на партию стали</w:t>
            </w:r>
          </w:p>
        </w:tc>
      </w:tr>
    </w:tbl>
    <w:p>
      <w:pPr>
        <w:pStyle w:val="Style19"/>
        <w:keepNext w:val="0"/>
        <w:keepLines w:val="0"/>
        <w:widowControl w:val="0"/>
        <w:shd w:val="clear" w:color="auto" w:fill="auto"/>
        <w:bidi w:val="0"/>
        <w:spacing w:before="0" w:after="0" w:line="240" w:lineRule="auto"/>
        <w:ind w:left="0" w:right="0" w:firstLine="720"/>
        <w:jc w:val="both"/>
      </w:pPr>
      <w:r>
        <w:rPr>
          <w:rStyle w:val="CharStyle20"/>
        </w:rPr>
        <w:t>Таким образом, ГОСТы предполагают наличие информации о классе арматуры у потенциального подрядчика, в связи с чем установление данного требования Заказчика обосновано и не нарушает конкуренцию, поскольку участник может предложить любое значение характеристики, подходящее под установленное требование.</w:t>
      </w:r>
    </w:p>
    <w:p>
      <w:pPr>
        <w:pStyle w:val="Style19"/>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rStyle w:val="CharStyle20"/>
        </w:rPr>
        <w:t xml:space="preserve">Довод жалобы в отношении определения толщины защитного слоя бетона только после лабораторных испытаний не нашел своего подтверждения и является необоснованным, поскольку, например, в отношении характеристики «нормируемая толщина защитного слоя бетона» имеется в «ГОСТ </w:t>
      </w:r>
      <w:r>
        <w:rPr>
          <w:rStyle w:val="CharStyle20"/>
          <w:lang w:val="en-US" w:eastAsia="en-US"/>
        </w:rPr>
        <w:t xml:space="preserve">13015-2012. </w:t>
      </w:r>
      <w:r>
        <w:rPr>
          <w:rStyle w:val="CharStyle20"/>
        </w:rPr>
        <w:t xml:space="preserve">Межгосударственный стандарт. Изделия бетонные и железобетонные для строительства. Общие технические требования. Правила приемки, маркировки, транспортирования и хранения» (далее </w:t>
      </w:r>
      <w:r>
        <w:rPr>
          <w:rStyle w:val="CharStyle20"/>
          <w:lang w:val="en-US" w:eastAsia="en-US"/>
        </w:rPr>
        <w:t xml:space="preserve">- </w:t>
      </w:r>
      <w:r>
        <w:rPr>
          <w:rStyle w:val="CharStyle20"/>
        </w:rPr>
        <w:t xml:space="preserve">ГОСТ </w:t>
      </w:r>
      <w:r>
        <w:rPr>
          <w:rStyle w:val="CharStyle20"/>
          <w:lang w:val="en-US" w:eastAsia="en-US"/>
        </w:rPr>
        <w:t xml:space="preserve">13015-2012) </w:t>
      </w:r>
      <w:r>
        <w:rPr>
          <w:rStyle w:val="CharStyle20"/>
        </w:rPr>
        <w:t xml:space="preserve">и «СП </w:t>
      </w:r>
      <w:r>
        <w:rPr>
          <w:rStyle w:val="CharStyle20"/>
          <w:lang w:val="en-US" w:eastAsia="en-US"/>
        </w:rPr>
        <w:t xml:space="preserve">63.13330.2018. </w:t>
      </w:r>
      <w:r>
        <w:rPr>
          <w:rStyle w:val="CharStyle20"/>
        </w:rPr>
        <w:t xml:space="preserve">Свод правил. Бетонные и железобетонные конструкции. Основные положения. СНиП </w:t>
      </w:r>
      <w:r>
        <w:rPr>
          <w:rStyle w:val="CharStyle20"/>
          <w:lang w:val="en-US" w:eastAsia="en-US"/>
        </w:rPr>
        <w:t xml:space="preserve">52-01-2003» </w:t>
      </w:r>
      <w:r>
        <w:rPr>
          <w:rStyle w:val="CharStyle20"/>
        </w:rPr>
        <w:t xml:space="preserve">(далее </w:t>
      </w:r>
      <w:r>
        <w:rPr>
          <w:rStyle w:val="CharStyle20"/>
          <w:lang w:val="en-US" w:eastAsia="en-US"/>
        </w:rPr>
        <w:t xml:space="preserve">- </w:t>
      </w:r>
      <w:r>
        <w:rPr>
          <w:rStyle w:val="CharStyle20"/>
        </w:rPr>
        <w:t xml:space="preserve">СП </w:t>
      </w:r>
      <w:r>
        <w:rPr>
          <w:rStyle w:val="CharStyle20"/>
          <w:lang w:val="en-US" w:eastAsia="en-US"/>
        </w:rPr>
        <w:t xml:space="preserve">63.13330.2018), </w:t>
      </w:r>
      <w:r>
        <w:rPr>
          <w:rStyle w:val="CharStyle20"/>
        </w:rPr>
        <w:t>которым установлены требования к толщине защитного слоя бетона.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Так, согласно п. </w:t>
      </w:r>
      <w:r>
        <w:rPr>
          <w:rStyle w:val="CharStyle20"/>
          <w:lang w:val="en-US" w:eastAsia="en-US"/>
        </w:rPr>
        <w:t xml:space="preserve">5.8.2 </w:t>
      </w:r>
      <w:r>
        <w:rPr>
          <w:rStyle w:val="CharStyle20"/>
        </w:rPr>
        <w:t xml:space="preserve">ГОСТ </w:t>
      </w:r>
      <w:r>
        <w:rPr>
          <w:rStyle w:val="CharStyle20"/>
          <w:lang w:val="en-US" w:eastAsia="en-US"/>
        </w:rPr>
        <w:t xml:space="preserve">13015-2012 </w:t>
      </w:r>
      <w:r>
        <w:rPr>
          <w:rStyle w:val="CharStyle20"/>
        </w:rPr>
        <w:t>минимальные значения толщины защитного слоя бетона до рабочей арматуры (в том числе арматуры, расположенной у внутренних граней полых элементов кольцевого или коробчатого сечения) следует принимать по таблице:</w:t>
      </w:r>
    </w:p>
    <w:p>
      <w:pPr>
        <w:pStyle w:val="Style28"/>
        <w:keepNext w:val="0"/>
        <w:keepLines w:val="0"/>
        <w:widowControl w:val="0"/>
        <w:shd w:val="clear" w:color="auto" w:fill="auto"/>
        <w:bidi w:val="0"/>
        <w:spacing w:before="0" w:after="0" w:line="240" w:lineRule="auto"/>
        <w:ind w:left="0" w:right="0" w:firstLine="0"/>
        <w:jc w:val="center"/>
      </w:pPr>
      <w:r>
        <w:rPr>
          <w:rStyle w:val="CharStyle29"/>
        </w:rPr>
        <w:t>Толщина защитного слоя бетона</w:t>
      </w:r>
    </w:p>
    <w:tbl>
      <w:tblPr>
        <w:tblOverlap w:val="never"/>
        <w:jc w:val="center"/>
        <w:tblLayout w:type="fixed"/>
      </w:tblPr>
      <w:tblGrid>
        <w:gridCol w:w="7555"/>
        <w:gridCol w:w="2621"/>
      </w:tblGrid>
      <w:tr>
        <w:trPr>
          <w:trHeight w:val="1186"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1200" w:right="0" w:firstLine="0"/>
              <w:jc w:val="left"/>
            </w:pPr>
            <w:r>
              <w:rPr>
                <w:rStyle w:val="CharStyle31"/>
              </w:rPr>
              <w:t>Условия эксплуатации конструкций зданий</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rPr>
              <w:t>Толщина защитного слоя бетона, мм, не менее</w:t>
            </w:r>
          </w:p>
        </w:tc>
      </w:tr>
      <w:tr>
        <w:trPr>
          <w:trHeight w:val="859"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pPr>
            <w:r>
              <w:rPr>
                <w:rStyle w:val="CharStyle31"/>
              </w:rPr>
              <w:t>В закрытых помещениях при нормальной и пониженной влажности</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15</w:t>
            </w:r>
          </w:p>
        </w:tc>
      </w:tr>
      <w:tr>
        <w:trPr>
          <w:trHeight w:val="859"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В закрытых помещениях при повышенной влажности (при отсутствии дополнительных защитных мероприятий)</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20</w:t>
            </w:r>
          </w:p>
        </w:tc>
      </w:tr>
      <w:tr>
        <w:trPr>
          <w:trHeight w:val="859"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На открытом воздухе (при отсутствии дополнительных защитных мероприятий)</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25</w:t>
            </w:r>
          </w:p>
        </w:tc>
      </w:tr>
      <w:tr>
        <w:trPr>
          <w:trHeight w:val="1181" w:hRule="exact"/>
        </w:trPr>
        <w:tc>
          <w:tcPr>
            <w:tcBorders>
              <w:top w:val="single" w:sz="4"/>
              <w:left w:val="single" w:sz="4"/>
              <w:bottom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В грунте (при отсутствии дополнительных защитных мероприятий), в фундаментах при наличии бетонной подготовки</w:t>
            </w:r>
          </w:p>
        </w:tc>
        <w:tc>
          <w:tcPr>
            <w:tcBorders>
              <w:top w:val="single" w:sz="4"/>
              <w:left w:val="single" w:sz="4"/>
              <w:bottom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35</w:t>
            </w:r>
          </w:p>
        </w:tc>
      </w:tr>
    </w:tbl>
    <w:p>
      <w:pPr>
        <w:pStyle w:val="Style28"/>
        <w:keepNext w:val="0"/>
        <w:keepLines w:val="0"/>
        <w:widowControl w:val="0"/>
        <w:shd w:val="clear" w:color="auto" w:fill="auto"/>
        <w:bidi w:val="0"/>
        <w:spacing w:before="0" w:after="0" w:line="240" w:lineRule="auto"/>
        <w:ind w:left="0" w:right="0" w:firstLine="0"/>
        <w:jc w:val="both"/>
      </w:pPr>
      <w:r>
        <w:rPr>
          <w:rStyle w:val="CharStyle29"/>
        </w:rPr>
        <w:t xml:space="preserve">Согласно п. </w:t>
      </w:r>
      <w:r>
        <w:rPr>
          <w:rStyle w:val="CharStyle29"/>
          <w:lang w:val="en-US" w:eastAsia="en-US"/>
        </w:rPr>
        <w:t xml:space="preserve">10.3.2 </w:t>
      </w:r>
      <w:r>
        <w:rPr>
          <w:rStyle w:val="CharStyle29"/>
        </w:rPr>
        <w:t xml:space="preserve">СП </w:t>
      </w:r>
      <w:r>
        <w:rPr>
          <w:rStyle w:val="CharStyle29"/>
          <w:lang w:val="en-US" w:eastAsia="en-US"/>
        </w:rPr>
        <w:t xml:space="preserve">63.13330.2018 </w:t>
      </w:r>
      <w:r>
        <w:rPr>
          <w:rStyle w:val="CharStyle29"/>
        </w:rPr>
        <w:t>«толщину защитного слоя бетона следует принимать исходя из требований настоящего подраздела с учетом роли арматуры в конструкциях (рабочая или конструктивная), типа конструкций (колонны, плиты, балки, элементы фундаментов, стены и т.п.), диаметра и вида арматуры, а также СП</w:t>
      </w:r>
    </w:p>
    <w:p>
      <w:pPr>
        <w:pStyle w:val="Style19"/>
        <w:keepNext w:val="0"/>
        <w:keepLines w:val="0"/>
        <w:widowControl w:val="0"/>
        <w:shd w:val="clear" w:color="auto" w:fill="auto"/>
        <w:bidi w:val="0"/>
        <w:spacing w:before="0" w:after="0" w:line="240" w:lineRule="auto"/>
        <w:ind w:left="0" w:right="0" w:firstLine="0"/>
        <w:jc w:val="both"/>
      </w:pPr>
      <w:r>
        <w:rPr>
          <w:rStyle w:val="CharStyle20"/>
          <w:lang w:val="en-US" w:eastAsia="en-US"/>
        </w:rPr>
        <w:t>28.13330.</w:t>
      </w:r>
    </w:p>
    <w:p>
      <w:pPr>
        <w:pStyle w:val="Style28"/>
        <w:keepNext w:val="0"/>
        <w:keepLines w:val="0"/>
        <w:widowControl w:val="0"/>
        <w:shd w:val="clear" w:color="auto" w:fill="auto"/>
        <w:bidi w:val="0"/>
        <w:spacing w:before="0" w:after="0" w:line="240" w:lineRule="auto"/>
        <w:ind w:left="0" w:right="0" w:firstLine="0"/>
        <w:jc w:val="both"/>
      </w:pPr>
      <w:r>
        <w:rPr>
          <w:rStyle w:val="CharStyle29"/>
        </w:rPr>
        <w:t xml:space="preserve">Минимальные значения толщины слоя бетона рабочей арматуры (в том числе арматуры, расположенной у внутренних граней полых элементов кольцевого или коробчатого сечения) следует принимать по таблице </w:t>
      </w:r>
      <w:r>
        <w:rPr>
          <w:rStyle w:val="CharStyle29"/>
          <w:lang w:val="en-US" w:eastAsia="en-US"/>
        </w:rPr>
        <w:t>10.1.</w:t>
      </w:r>
    </w:p>
    <w:tbl>
      <w:tblPr>
        <w:tblOverlap w:val="never"/>
        <w:jc w:val="center"/>
        <w:tblLayout w:type="fixed"/>
      </w:tblPr>
      <w:tblGrid>
        <w:gridCol w:w="6816"/>
        <w:gridCol w:w="3360"/>
      </w:tblGrid>
      <w:tr>
        <w:trPr>
          <w:trHeight w:val="864"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rPr>
              <w:t>Условия эксплуатации конструкций зданий</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pPr>
            <w:r>
              <w:rPr>
                <w:rStyle w:val="CharStyle31"/>
              </w:rPr>
              <w:t>Толщина защитного слоя бетона, мм, не менее</w:t>
            </w:r>
          </w:p>
        </w:tc>
      </w:tr>
      <w:tr>
        <w:trPr>
          <w:trHeight w:val="859"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pPr>
            <w:r>
              <w:rPr>
                <w:rStyle w:val="CharStyle31"/>
              </w:rPr>
              <w:t>В закрытых помещениях при нормальной и пониженной влажности</w:t>
            </w:r>
          </w:p>
        </w:tc>
        <w:tc>
          <w:tcPr>
            <w:tcBorders>
              <w:top w:val="single" w:sz="4"/>
              <w:left w:val="single" w:sz="4"/>
              <w:right w:val="single" w:sz="4"/>
            </w:tcBorders>
            <w:shd w:val="clear" w:color="auto" w:fill="auto"/>
            <w:vAlign w:val="top"/>
          </w:tcPr>
          <w:p>
            <w:pPr>
              <w:pStyle w:val="Style30"/>
              <w:keepNext w:val="0"/>
              <w:keepLines w:val="0"/>
              <w:widowControl w:val="0"/>
              <w:shd w:val="clear" w:color="auto" w:fill="auto"/>
              <w:bidi w:val="0"/>
              <w:spacing w:before="80" w:after="0" w:line="240" w:lineRule="auto"/>
              <w:ind w:left="0" w:right="0" w:firstLine="0"/>
              <w:jc w:val="center"/>
            </w:pPr>
            <w:r>
              <w:rPr>
                <w:rStyle w:val="CharStyle31"/>
                <w:lang w:val="en-US" w:eastAsia="en-US"/>
              </w:rPr>
              <w:t>20</w:t>
            </w:r>
          </w:p>
        </w:tc>
      </w:tr>
      <w:tr>
        <w:trPr>
          <w:trHeight w:val="1181"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В закрытых помещениях при повышенной влажности (при отсутствии дополнительных защитных мероприятий)</w:t>
            </w:r>
          </w:p>
        </w:tc>
        <w:tc>
          <w:tcPr>
            <w:tcBorders>
              <w:top w:val="single" w:sz="4"/>
              <w:left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25</w:t>
            </w:r>
          </w:p>
        </w:tc>
      </w:tr>
      <w:tr>
        <w:trPr>
          <w:trHeight w:val="859"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На открытом воздухе (при отсутствии дополнительных защитных мероприятий)</w:t>
            </w:r>
          </w:p>
        </w:tc>
        <w:tc>
          <w:tcPr>
            <w:tcBorders>
              <w:top w:val="single" w:sz="4"/>
              <w:left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30</w:t>
            </w:r>
          </w:p>
        </w:tc>
      </w:tr>
      <w:tr>
        <w:trPr>
          <w:trHeight w:val="1181"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В грунте (при отсутствии дополнительных защитных мероприятий), в монолитных фундаментах при наличии бетонной подготовки</w:t>
            </w:r>
          </w:p>
        </w:tc>
        <w:tc>
          <w:tcPr>
            <w:tcBorders>
              <w:top w:val="single" w:sz="4"/>
              <w:left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40</w:t>
            </w:r>
          </w:p>
        </w:tc>
      </w:tr>
      <w:tr>
        <w:trPr>
          <w:trHeight w:val="859" w:hRule="exact"/>
        </w:trPr>
        <w:tc>
          <w:tcPr>
            <w:tcBorders>
              <w:top w:val="single" w:sz="4"/>
              <w:left w:val="single" w:sz="4"/>
              <w:bottom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pPr>
            <w:r>
              <w:rPr>
                <w:rStyle w:val="CharStyle31"/>
              </w:rPr>
              <w:t>В монолитных фундаментах при отсутствии бетонной подготовки (только для нижней рабочей арматуры)</w:t>
            </w:r>
          </w:p>
        </w:tc>
        <w:tc>
          <w:tcPr>
            <w:tcBorders>
              <w:top w:val="single" w:sz="4"/>
              <w:left w:val="single" w:sz="4"/>
              <w:bottom w:val="single" w:sz="4"/>
              <w:right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pPr>
            <w:r>
              <w:rPr>
                <w:rStyle w:val="CharStyle31"/>
                <w:lang w:val="en-US" w:eastAsia="en-US"/>
              </w:rPr>
              <w:t>70</w:t>
            </w:r>
          </w:p>
        </w:tc>
      </w:tr>
    </w:tbl>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Для сборных элементов минимальные значения толщины защитного слоя бетона рабочей арматуры, указанные в таблице </w:t>
      </w:r>
      <w:r>
        <w:rPr>
          <w:rStyle w:val="CharStyle20"/>
          <w:lang w:val="en-US" w:eastAsia="en-US"/>
        </w:rPr>
        <w:t xml:space="preserve">10.1, </w:t>
      </w:r>
      <w:r>
        <w:rPr>
          <w:rStyle w:val="CharStyle20"/>
        </w:rPr>
        <w:t xml:space="preserve">уменьшают на </w:t>
      </w:r>
      <w:r>
        <w:rPr>
          <w:rStyle w:val="CharStyle20"/>
          <w:lang w:val="en-US" w:eastAsia="en-US"/>
        </w:rPr>
        <w:t xml:space="preserve">5 </w:t>
      </w:r>
      <w:r>
        <w:rPr>
          <w:rStyle w:val="CharStyle20"/>
        </w:rPr>
        <w:t xml:space="preserve">мм. В сборных фундаментах при отсутствии бетонной подготовки минимальное значение защитного слоя бетона принимают равным </w:t>
      </w:r>
      <w:r>
        <w:rPr>
          <w:rStyle w:val="CharStyle20"/>
          <w:lang w:val="en-US" w:eastAsia="en-US"/>
        </w:rPr>
        <w:t xml:space="preserve">35 </w:t>
      </w:r>
      <w:r>
        <w:rPr>
          <w:rStyle w:val="CharStyle20"/>
        </w:rPr>
        <w:t>мм.</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Для конструктивной арматуры минимальные значения толщины защитного слоя бетона принимают на </w:t>
      </w:r>
      <w:r>
        <w:rPr>
          <w:rStyle w:val="CharStyle20"/>
          <w:lang w:val="en-US" w:eastAsia="en-US"/>
        </w:rPr>
        <w:t xml:space="preserve">5 </w:t>
      </w:r>
      <w:r>
        <w:rPr>
          <w:rStyle w:val="CharStyle20"/>
        </w:rPr>
        <w:t>мм меньше по сравнению с требуемыми для рабочей арматуры.</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Во всех случаях толщину защитного слоя бетона следует также принимать не менее диаметра стержня арматуры и не менее </w:t>
      </w:r>
      <w:r>
        <w:rPr>
          <w:rStyle w:val="CharStyle20"/>
          <w:lang w:val="en-US" w:eastAsia="en-US"/>
        </w:rPr>
        <w:t xml:space="preserve">10 </w:t>
      </w:r>
      <w:r>
        <w:rPr>
          <w:rStyle w:val="CharStyle20"/>
        </w:rPr>
        <w:t>мм.</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однослойных конструкциях из легкого и поризованного бетонов классов </w:t>
      </w:r>
      <w:r>
        <w:rPr>
          <w:rStyle w:val="CharStyle20"/>
          <w:lang w:val="en-US" w:eastAsia="en-US"/>
        </w:rPr>
        <w:t xml:space="preserve">B7,5 </w:t>
      </w:r>
      <w:r>
        <w:rPr>
          <w:rStyle w:val="CharStyle20"/>
        </w:rPr>
        <w:t xml:space="preserve">и ниже толщина защитного слоя должна составлять не менее </w:t>
      </w:r>
      <w:r>
        <w:rPr>
          <w:rStyle w:val="CharStyle20"/>
          <w:lang w:val="en-US" w:eastAsia="en-US"/>
        </w:rPr>
        <w:t xml:space="preserve">20 </w:t>
      </w:r>
      <w:r>
        <w:rPr>
          <w:rStyle w:val="CharStyle20"/>
        </w:rPr>
        <w:t xml:space="preserve">мм, а для наружных стеновых панелей (без фактурного слоя) </w:t>
      </w:r>
      <w:r>
        <w:rPr>
          <w:rStyle w:val="CharStyle20"/>
          <w:lang w:val="en-US" w:eastAsia="en-US"/>
        </w:rPr>
        <w:t xml:space="preserve">- </w:t>
      </w:r>
      <w:r>
        <w:rPr>
          <w:rStyle w:val="CharStyle20"/>
        </w:rPr>
        <w:t xml:space="preserve">не менее </w:t>
      </w:r>
      <w:r>
        <w:rPr>
          <w:rStyle w:val="CharStyle20"/>
          <w:lang w:val="en-US" w:eastAsia="en-US"/>
        </w:rPr>
        <w:t xml:space="preserve">25 </w:t>
      </w:r>
      <w:r>
        <w:rPr>
          <w:rStyle w:val="CharStyle20"/>
        </w:rPr>
        <w:t xml:space="preserve">мм. В однослойных конструкциях из ячеистого бетона толщина защитного слоя во всех случаях принимается не менее </w:t>
      </w:r>
      <w:r>
        <w:rPr>
          <w:rStyle w:val="CharStyle20"/>
          <w:lang w:val="en-US" w:eastAsia="en-US"/>
        </w:rPr>
        <w:t xml:space="preserve">25 </w:t>
      </w:r>
      <w:r>
        <w:rPr>
          <w:rStyle w:val="CharStyle20"/>
        </w:rPr>
        <w:t>мм.</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защитном слое бетона толщиной более </w:t>
      </w:r>
      <w:r>
        <w:rPr>
          <w:rStyle w:val="CharStyle20"/>
          <w:lang w:val="en-US" w:eastAsia="en-US"/>
        </w:rPr>
        <w:t xml:space="preserve">50 </w:t>
      </w:r>
      <w:r>
        <w:rPr>
          <w:rStyle w:val="CharStyle20"/>
        </w:rPr>
        <w:t xml:space="preserve">мм изгибаемых, растянутых и внецентренно сжатых элементов (при соотношении </w:t>
      </w:r>
      <w:r>
        <w:rPr>
          <w:rStyle w:val="CharStyle20"/>
          <w:lang w:val="en-US" w:eastAsia="en-US"/>
        </w:rPr>
        <w:t xml:space="preserve">M/N &gt; 0,3h </w:t>
      </w:r>
      <w:r>
        <w:rPr>
          <w:rStyle w:val="CharStyle20"/>
        </w:rPr>
        <w:t xml:space="preserve">от постоянных и длительных нагрузок), кроме фундаментов следует устанавливать конструктивную арматуру в виде сеток с площадью сечения продольной арматуры не менее </w:t>
      </w:r>
      <w:r>
        <w:rPr>
          <w:rStyle w:val="CharStyle20"/>
          <w:lang w:val="en-US" w:eastAsia="en-US"/>
        </w:rPr>
        <w:t xml:space="preserve">0,05As, </w:t>
      </w:r>
      <w:r>
        <w:rPr>
          <w:rStyle w:val="CharStyle20"/>
        </w:rPr>
        <w:t>при этом шаг поперечной арматуры должен быть не более наименьшего размера поперечного сечения элемента».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Таким образом, установление данного требования обусловлено требованиями безопасности и соответствующими ГОСТ и СП.</w:t>
      </w:r>
      <w:r>
        <w:br w:type="page"/>
      </w:r>
    </w:p>
    <w:p>
      <w:pPr>
        <w:pStyle w:val="Style19"/>
        <w:keepNext w:val="0"/>
        <w:keepLines w:val="0"/>
        <w:widowControl w:val="0"/>
        <w:shd w:val="clear" w:color="auto" w:fill="auto"/>
        <w:bidi w:val="0"/>
        <w:spacing w:before="0" w:after="280" w:line="240" w:lineRule="auto"/>
        <w:ind w:left="0" w:right="0" w:firstLine="720"/>
        <w:jc w:val="both"/>
      </w:pPr>
      <w:r>
        <w:rPr>
          <w:rStyle w:val="CharStyle20"/>
        </w:rPr>
        <w:t>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w:t>
      </w:r>
    </w:p>
    <w:p>
      <w:pPr>
        <w:pStyle w:val="Style19"/>
        <w:keepNext w:val="0"/>
        <w:keepLines w:val="0"/>
        <w:widowControl w:val="0"/>
        <w:shd w:val="clear" w:color="auto" w:fill="auto"/>
        <w:bidi w:val="0"/>
        <w:spacing w:before="0" w:after="280" w:line="240" w:lineRule="auto"/>
        <w:ind w:left="0" w:right="0" w:firstLine="720"/>
        <w:jc w:val="both"/>
      </w:pPr>
      <w:r>
        <w:rPr>
          <w:rStyle w:val="CharStyle20"/>
        </w:rPr>
        <w:t xml:space="preserve">Комиссия, руководствуясь ст. </w:t>
      </w:r>
      <w:r>
        <w:rPr>
          <w:rStyle w:val="CharStyle20"/>
          <w:lang w:val="en-US" w:eastAsia="en-US"/>
        </w:rPr>
        <w:t xml:space="preserve">99, </w:t>
      </w:r>
      <w:r>
        <w:rPr>
          <w:rStyle w:val="CharStyle20"/>
        </w:rPr>
        <w:t xml:space="preserve">ст. </w:t>
      </w:r>
      <w:r>
        <w:rPr>
          <w:rStyle w:val="CharStyle20"/>
          <w:lang w:val="en-US" w:eastAsia="en-US"/>
        </w:rPr>
        <w:t xml:space="preserve">106 </w:t>
      </w:r>
      <w:r>
        <w:rPr>
          <w:rStyle w:val="CharStyle20"/>
        </w:rPr>
        <w:t xml:space="preserve">Закона </w:t>
      </w:r>
      <w:r>
        <w:rPr>
          <w:rStyle w:val="CharStyle20"/>
          <w:lang w:val="en-US" w:eastAsia="en-US"/>
        </w:rPr>
        <w:t xml:space="preserve">№ </w:t>
      </w:r>
      <w:r>
        <w:rPr>
          <w:rStyle w:val="CharStyle20"/>
        </w:rPr>
        <w:t>44-ФЗ,</w:t>
      </w:r>
    </w:p>
    <w:p>
      <w:pPr>
        <w:pStyle w:val="Style19"/>
        <w:keepNext w:val="0"/>
        <w:keepLines w:val="0"/>
        <w:widowControl w:val="0"/>
        <w:shd w:val="clear" w:color="auto" w:fill="auto"/>
        <w:bidi w:val="0"/>
        <w:spacing w:before="0" w:after="280" w:line="240" w:lineRule="auto"/>
        <w:ind w:left="0" w:right="0" w:firstLine="0"/>
        <w:jc w:val="center"/>
      </w:pPr>
      <w:r>
        <w:rPr>
          <w:rStyle w:val="CharStyle20"/>
          <w:b/>
          <w:bCs/>
        </w:rPr>
        <w:t xml:space="preserve">Р Е Ш И Л А </w:t>
      </w:r>
      <w:r>
        <w:rPr>
          <w:rStyle w:val="CharStyle20"/>
          <w:b/>
          <w:bCs/>
          <w:lang w:val="en-US" w:eastAsia="en-US"/>
        </w:rPr>
        <w:t>:</w:t>
      </w:r>
    </w:p>
    <w:p>
      <w:pPr>
        <w:pStyle w:val="Style19"/>
        <w:keepNext w:val="0"/>
        <w:keepLines w:val="0"/>
        <w:widowControl w:val="0"/>
        <w:numPr>
          <w:ilvl w:val="0"/>
          <w:numId w:val="5"/>
        </w:numPr>
        <w:shd w:val="clear" w:color="auto" w:fill="auto"/>
        <w:tabs>
          <w:tab w:pos="1107" w:val="left"/>
        </w:tabs>
        <w:bidi w:val="0"/>
        <w:spacing w:before="0" w:after="0" w:line="240" w:lineRule="auto"/>
        <w:ind w:left="0" w:right="0" w:firstLine="720"/>
        <w:jc w:val="both"/>
      </w:pPr>
      <w:r>
        <w:rPr>
          <w:rStyle w:val="CharStyle20"/>
        </w:rPr>
        <w:t xml:space="preserve">Признать жалобу ООО «Энергоаудит СК» на действия Комитета городского хозяйства администрации города Ставрополя, Комитета экономического развития и торговли администрации города по факту осуществления закупки путем проведения аукциона в электронной форме </w:t>
      </w:r>
      <w:r>
        <w:rPr>
          <w:rStyle w:val="CharStyle20"/>
          <w:lang w:val="en-US" w:eastAsia="en-US"/>
        </w:rPr>
        <w:t xml:space="preserve">№0321300001125000426 </w:t>
      </w:r>
      <w:r>
        <w:rPr>
          <w:rStyle w:val="CharStyle20"/>
        </w:rPr>
        <w:t xml:space="preserve">«Работы по техническому, оперативному и аварийному обслуживанию сетей уличного освещения, находящихся в муниципальной собственности города Ставрополя» </w:t>
      </w:r>
      <w:r>
        <w:rPr>
          <w:rStyle w:val="CharStyle20"/>
          <w:lang w:val="en-US" w:eastAsia="en-US"/>
        </w:rPr>
        <w:t xml:space="preserve">- </w:t>
      </w:r>
      <w:r>
        <w:rPr>
          <w:rStyle w:val="CharStyle20"/>
        </w:rPr>
        <w:t>частично обоснованной.</w:t>
      </w:r>
    </w:p>
    <w:p>
      <w:pPr>
        <w:pStyle w:val="Style19"/>
        <w:keepNext w:val="0"/>
        <w:keepLines w:val="0"/>
        <w:widowControl w:val="0"/>
        <w:numPr>
          <w:ilvl w:val="0"/>
          <w:numId w:val="5"/>
        </w:numPr>
        <w:shd w:val="clear" w:color="auto" w:fill="auto"/>
        <w:tabs>
          <w:tab w:pos="1107" w:val="left"/>
        </w:tabs>
        <w:bidi w:val="0"/>
        <w:spacing w:before="0" w:after="0" w:line="240" w:lineRule="auto"/>
        <w:ind w:left="0" w:right="0" w:firstLine="720"/>
        <w:jc w:val="both"/>
      </w:pPr>
      <w:r>
        <w:rPr>
          <w:rStyle w:val="CharStyle20"/>
        </w:rPr>
        <w:t xml:space="preserve">По результатам проведения в порядке статьи </w:t>
      </w:r>
      <w:r>
        <w:rPr>
          <w:rStyle w:val="CharStyle20"/>
          <w:lang w:val="en-US" w:eastAsia="en-US"/>
        </w:rPr>
        <w:t xml:space="preserve">99 </w:t>
      </w:r>
      <w:r>
        <w:rPr>
          <w:rStyle w:val="CharStyle20"/>
        </w:rPr>
        <w:t xml:space="preserve">Закона </w:t>
      </w:r>
      <w:r>
        <w:rPr>
          <w:rStyle w:val="CharStyle20"/>
          <w:lang w:val="en-US" w:eastAsia="en-US"/>
        </w:rPr>
        <w:t xml:space="preserve">№ </w:t>
      </w:r>
      <w:r>
        <w:rPr>
          <w:rStyle w:val="CharStyle20"/>
        </w:rPr>
        <w:t xml:space="preserve">44-ФЗ внеплановой проверки признать действия Комитета городского хозяйства администрации города Ставрополя нарушившими требования ч. </w:t>
      </w:r>
      <w:r>
        <w:rPr>
          <w:rStyle w:val="CharStyle20"/>
          <w:lang w:val="en-US" w:eastAsia="en-US"/>
        </w:rPr>
        <w:t xml:space="preserve">2 </w:t>
      </w:r>
      <w:r>
        <w:rPr>
          <w:rStyle w:val="CharStyle20"/>
        </w:rPr>
        <w:t xml:space="preserve">ст. </w:t>
      </w:r>
      <w:r>
        <w:rPr>
          <w:rStyle w:val="CharStyle20"/>
          <w:lang w:val="en-US" w:eastAsia="en-US"/>
        </w:rPr>
        <w:t xml:space="preserve">33, </w:t>
      </w:r>
      <w:r>
        <w:rPr>
          <w:rStyle w:val="CharStyle20"/>
        </w:rPr>
        <w:t xml:space="preserve">п. </w:t>
      </w:r>
      <w:r>
        <w:rPr>
          <w:rStyle w:val="CharStyle20"/>
          <w:lang w:val="en-US" w:eastAsia="en-US"/>
        </w:rPr>
        <w:t xml:space="preserve">5 </w:t>
      </w:r>
      <w:r>
        <w:rPr>
          <w:rStyle w:val="CharStyle20"/>
        </w:rPr>
        <w:t xml:space="preserve">ч. </w:t>
      </w:r>
      <w:r>
        <w:rPr>
          <w:rStyle w:val="CharStyle20"/>
          <w:lang w:val="en-US" w:eastAsia="en-US"/>
        </w:rPr>
        <w:t xml:space="preserve">1, </w:t>
      </w:r>
      <w:r>
        <w:rPr>
          <w:rStyle w:val="CharStyle20"/>
        </w:rPr>
        <w:t xml:space="preserve">п. </w:t>
      </w:r>
      <w:r>
        <w:rPr>
          <w:rStyle w:val="CharStyle20"/>
          <w:lang w:val="en-US" w:eastAsia="en-US"/>
        </w:rPr>
        <w:t xml:space="preserve">1 </w:t>
      </w:r>
      <w:r>
        <w:rPr>
          <w:rStyle w:val="CharStyle20"/>
        </w:rPr>
        <w:t xml:space="preserve">ч. </w:t>
      </w:r>
      <w:r>
        <w:rPr>
          <w:rStyle w:val="CharStyle20"/>
          <w:lang w:val="en-US" w:eastAsia="en-US"/>
        </w:rPr>
        <w:t xml:space="preserve">2 </w:t>
      </w:r>
      <w:r>
        <w:rPr>
          <w:rStyle w:val="CharStyle20"/>
        </w:rPr>
        <w:t xml:space="preserve">ст. </w:t>
      </w:r>
      <w:r>
        <w:rPr>
          <w:rStyle w:val="CharStyle20"/>
          <w:lang w:val="en-US" w:eastAsia="en-US"/>
        </w:rPr>
        <w:t xml:space="preserve">42 </w:t>
      </w:r>
      <w:r>
        <w:rPr>
          <w:rStyle w:val="CharStyle20"/>
        </w:rPr>
        <w:t xml:space="preserve">Закона </w:t>
      </w:r>
      <w:r>
        <w:rPr>
          <w:rStyle w:val="CharStyle20"/>
          <w:lang w:val="en-US" w:eastAsia="en-US"/>
        </w:rPr>
        <w:t xml:space="preserve">№ </w:t>
      </w:r>
      <w:r>
        <w:rPr>
          <w:rStyle w:val="CharStyle20"/>
        </w:rPr>
        <w:t xml:space="preserve">44-ФЗ, Правил </w:t>
      </w:r>
      <w:r>
        <w:rPr>
          <w:rStyle w:val="CharStyle20"/>
          <w:lang w:val="en-US" w:eastAsia="en-US"/>
        </w:rPr>
        <w:t xml:space="preserve">№ 145, </w:t>
      </w:r>
      <w:r>
        <w:rPr>
          <w:rStyle w:val="CharStyle20"/>
        </w:rPr>
        <w:t>в связи с чем выдать обязательное для исполнения предписание.</w:t>
      </w:r>
    </w:p>
    <w:p>
      <w:pPr>
        <w:pStyle w:val="Style19"/>
        <w:keepNext w:val="0"/>
        <w:keepLines w:val="0"/>
        <w:widowControl w:val="0"/>
        <w:numPr>
          <w:ilvl w:val="0"/>
          <w:numId w:val="5"/>
        </w:numPr>
        <w:shd w:val="clear" w:color="auto" w:fill="auto"/>
        <w:tabs>
          <w:tab w:pos="1112" w:val="left"/>
        </w:tabs>
        <w:bidi w:val="0"/>
        <w:spacing w:before="0" w:after="280" w:line="240" w:lineRule="auto"/>
        <w:ind w:left="0" w:right="0" w:firstLine="720"/>
        <w:jc w:val="both"/>
      </w:pPr>
      <w:r>
        <w:rPr>
          <w:rStyle w:val="CharStyle20"/>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 </w:t>
      </w:r>
      <w:r>
        <w:rPr>
          <w:rStyle w:val="CharStyle20"/>
          <w:lang w:val="en-US" w:eastAsia="en-US"/>
        </w:rPr>
        <w:t xml:space="preserve">5 </w:t>
      </w:r>
      <w:r>
        <w:rPr>
          <w:rStyle w:val="CharStyle20"/>
        </w:rPr>
        <w:t xml:space="preserve">ст. </w:t>
      </w:r>
      <w:r>
        <w:rPr>
          <w:rStyle w:val="CharStyle20"/>
          <w:lang w:val="en-US" w:eastAsia="en-US"/>
        </w:rPr>
        <w:t xml:space="preserve">7.30.1 </w:t>
      </w:r>
      <w:r>
        <w:rPr>
          <w:rStyle w:val="CharStyle20"/>
        </w:rPr>
        <w:t xml:space="preserve">Кодекса Российской Федерации об административных правонарушениях от </w:t>
      </w:r>
      <w:r>
        <w:rPr>
          <w:rStyle w:val="CharStyle20"/>
          <w:lang w:val="en-US" w:eastAsia="en-US"/>
        </w:rPr>
        <w:t xml:space="preserve">30.12.2001 № </w:t>
      </w:r>
      <w:r>
        <w:rPr>
          <w:rStyle w:val="CharStyle20"/>
        </w:rPr>
        <w:t>195-ФЗ.</w:t>
      </w:r>
    </w:p>
    <w:p>
      <w:pPr>
        <w:pStyle w:val="Style19"/>
        <w:keepNext w:val="0"/>
        <w:keepLines w:val="0"/>
        <w:widowControl w:val="0"/>
        <w:shd w:val="clear" w:color="auto" w:fill="auto"/>
        <w:bidi w:val="0"/>
        <w:spacing w:before="0" w:after="0" w:line="240" w:lineRule="auto"/>
        <w:ind w:left="0" w:right="0" w:firstLine="720"/>
        <w:jc w:val="both"/>
      </w:pPr>
      <w:r>
        <w:rPr>
          <w:rStyle w:val="CharStyle20"/>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63" w:right="505" w:bottom="1212" w:left="1057" w:header="0" w:footer="3" w:gutter="0"/>
          <w:cols w:space="720"/>
          <w:noEndnote/>
          <w:rtlGutter w:val="0"/>
          <w:docGrid w:linePitch="360"/>
        </w:sectPr>
      </w:pPr>
      <w:r>
        <mc:AlternateContent>
          <mc:Choice Requires="wps">
            <w:drawing>
              <wp:anchor distT="127000" distB="344170" distL="0" distR="0" simplePos="0" relativeHeight="125829380" behindDoc="0" locked="0" layoutInCell="1" allowOverlap="1">
                <wp:simplePos x="0" y="0"/>
                <wp:positionH relativeFrom="page">
                  <wp:posOffset>734695</wp:posOffset>
                </wp:positionH>
                <wp:positionV relativeFrom="paragraph">
                  <wp:posOffset>127000</wp:posOffset>
                </wp:positionV>
                <wp:extent cx="1822450" cy="250190"/>
                <wp:wrapTopAndBottom/>
                <wp:docPr id="7" name="Shape 7"/>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50000000000001pt;margin-top:10.pt;width:143.5pt;height:19.699999999999999pt;z-index:-125829373;mso-wrap-distance-left:0;mso-wrap-distance-top:10.pt;mso-wrap-distance-right:0;mso-wrap-distance-bottom:27.1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v:textbox>
                <w10:wrap type="topAndBottom" anchorx="page"/>
              </v:shape>
            </w:pict>
          </mc:Fallback>
        </mc:AlternateContent>
      </w:r>
      <w:r>
        <w:drawing>
          <wp:anchor distT="196850" distB="0" distL="0" distR="1786255" simplePos="0" relativeHeight="125829382" behindDoc="0" locked="0" layoutInCell="1" allowOverlap="1">
            <wp:simplePos x="0" y="0"/>
            <wp:positionH relativeFrom="page">
              <wp:posOffset>3169920</wp:posOffset>
            </wp:positionH>
            <wp:positionV relativeFrom="paragraph">
              <wp:posOffset>196850</wp:posOffset>
            </wp:positionV>
            <wp:extent cx="359410" cy="52451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3633470</wp:posOffset>
                </wp:positionH>
                <wp:positionV relativeFrom="paragraph">
                  <wp:posOffset>605155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86.10000000000002pt;margin-top:47.649999999999999pt;width:100.8pt;height:7.90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3590290</wp:posOffset>
                </wp:positionH>
                <wp:positionV relativeFrom="paragraph">
                  <wp:posOffset>288290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82.69999999999999pt;margin-top:22.699999999999999pt;width:135.59999999999999pt;height:20.4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4170" distL="0" distR="0" simplePos="0" relativeHeight="125829383" behindDoc="0" locked="0" layoutInCell="1" allowOverlap="1">
                <wp:simplePos x="0" y="0"/>
                <wp:positionH relativeFrom="page">
                  <wp:posOffset>5980430</wp:posOffset>
                </wp:positionH>
                <wp:positionV relativeFrom="paragraph">
                  <wp:posOffset>127000</wp:posOffset>
                </wp:positionV>
                <wp:extent cx="1200785" cy="250190"/>
                <wp:wrapTopAndBottom/>
                <wp:docPr id="15" name="Shape 15"/>
                <a:graphic xmlns:a="http://schemas.openxmlformats.org/drawingml/2006/main">
                  <a:graphicData uri="http://schemas.microsoft.com/office/word/2010/wordprocessingShape">
                    <wps:wsp>
                      <wps:cNvSpPr txBox="1"/>
                      <wps:spPr>
                        <a:xfrm>
                          <a:ext cx="1200785"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М.И. Исмаилов</w:t>
                            </w:r>
                          </w:p>
                        </w:txbxContent>
                      </wps:txbx>
                      <wps:bodyPr wrap="none" lIns="0" tIns="0" rIns="0" bIns="0">
                        <a:noAutoFit/>
                      </wps:bodyPr>
                    </wps:wsp>
                  </a:graphicData>
                </a:graphic>
              </wp:anchor>
            </w:drawing>
          </mc:Choice>
          <mc:Fallback>
            <w:pict>
              <v:shape id="_x0000_s1041" type="#_x0000_t202" style="position:absolute;margin-left:470.90000000000003pt;margin-top:10.pt;width:94.549999999999997pt;height:19.699999999999999pt;z-index:-125829370;mso-wrap-distance-left:0;mso-wrap-distance-top:10.pt;mso-wrap-distance-right:0;mso-wrap-distance-bottom:27.1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М.И. Исмаилов</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left"/>
        <w:rPr>
          <w:sz w:val="11"/>
          <w:szCs w:val="11"/>
        </w:rPr>
      </w:pPr>
      <w:r>
        <w:rPr>
          <w:rStyle w:val="CharStyle33"/>
        </w:rPr>
        <w:t xml:space="preserve">Кому выдан: </w:t>
      </w:r>
      <w:r>
        <w:rPr>
          <w:rStyle w:val="CharStyle33"/>
          <w:color w:val="000000"/>
          <w:sz w:val="11"/>
          <w:szCs w:val="11"/>
        </w:rPr>
        <w:t>Исмаилов Мурсал Исмаилович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3B184C735B4C9EC76E5D010F015AA88C</w:t>
      </w:r>
    </w:p>
    <w:p>
      <w:pPr>
        <w:pStyle w:val="Style32"/>
        <w:keepNext w:val="0"/>
        <w:keepLines w:val="0"/>
        <w:widowControl w:val="0"/>
        <w:shd w:val="clear" w:color="auto" w:fill="auto"/>
        <w:bidi w:val="0"/>
        <w:spacing w:before="0" w:after="0" w:line="240" w:lineRule="auto"/>
        <w:ind w:left="0" w:right="0" w:firstLine="0"/>
        <w:jc w:val="center"/>
      </w:pPr>
      <w:r>
        <w:rPr>
          <w:rStyle w:val="CharStyle33"/>
        </w:rPr>
        <w:t xml:space="preserve">Действителен с 23.07.2024 </w:t>
      </w:r>
      <w:r>
        <w:rPr>
          <w:rStyle w:val="CharStyle33"/>
          <w:color w:val="5E5E5E"/>
        </w:rPr>
        <w:t>по 16.10.2025</w:t>
      </w:r>
    </w:p>
    <w:p>
      <w:pPr>
        <w:widowControl w:val="0"/>
        <w:spacing w:line="1" w:lineRule="exact"/>
        <w:sectPr>
          <w:footnotePr>
            <w:pos w:val="pageBottom"/>
            <w:numFmt w:val="decimal"/>
            <w:numRestart w:val="continuous"/>
          </w:footnotePr>
          <w:type w:val="continuous"/>
          <w:pgSz w:w="11900" w:h="16840"/>
          <w:pgMar w:top="1105" w:right="536" w:bottom="1107" w:left="1101" w:header="0" w:footer="3" w:gutter="0"/>
          <w:cols w:space="720"/>
          <w:noEndnote/>
          <w:rtlGutter w:val="0"/>
          <w:docGrid w:linePitch="360"/>
        </w:sectPr>
      </w:pPr>
      <w:r>
        <mc:AlternateContent>
          <mc:Choice Requires="wps">
            <w:drawing>
              <wp:anchor distT="88900" distB="341630" distL="0" distR="0" simplePos="0" relativeHeight="125829385" behindDoc="0" locked="0" layoutInCell="1" allowOverlap="1">
                <wp:simplePos x="0" y="0"/>
                <wp:positionH relativeFrom="page">
                  <wp:posOffset>732155</wp:posOffset>
                </wp:positionH>
                <wp:positionV relativeFrom="paragraph">
                  <wp:posOffset>88900</wp:posOffset>
                </wp:positionV>
                <wp:extent cx="1344295" cy="252730"/>
                <wp:wrapTopAndBottom/>
                <wp:docPr id="17" name="Shape 1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Члены комиссии:</w:t>
                            </w:r>
                          </w:p>
                        </w:txbxContent>
                      </wps:txbx>
                      <wps:bodyPr wrap="none" lIns="0" tIns="0" rIns="0" bIns="0">
                        <a:noAutoFit/>
                      </wps:bodyPr>
                    </wps:wsp>
                  </a:graphicData>
                </a:graphic>
              </wp:anchor>
            </w:drawing>
          </mc:Choice>
          <mc:Fallback>
            <w:pict>
              <v:shape id="_x0000_s1043" type="#_x0000_t202" style="position:absolute;margin-left:57.649999999999999pt;margin-top:7.pt;width:105.85000000000001pt;height:19.900000000000002pt;z-index:-125829368;mso-wrap-distance-left:0;mso-wrap-distance-top:7.pt;mso-wrap-distance-right:0;mso-wrap-distance-bottom:26.900000000000002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Члены комиссии:</w:t>
                      </w:r>
                    </w:p>
                  </w:txbxContent>
                </v:textbox>
                <w10:wrap type="topAndBottom" anchorx="page"/>
              </v:shape>
            </w:pict>
          </mc:Fallback>
        </mc:AlternateContent>
      </w:r>
      <w:r>
        <w:drawing>
          <wp:anchor distT="161925" distB="0" distL="0" distR="1786255" simplePos="0" relativeHeight="125829387" behindDoc="0" locked="0" layoutInCell="1" allowOverlap="1">
            <wp:simplePos x="0" y="0"/>
            <wp:positionH relativeFrom="page">
              <wp:posOffset>3170555</wp:posOffset>
            </wp:positionH>
            <wp:positionV relativeFrom="paragraph">
              <wp:posOffset>161925</wp:posOffset>
            </wp:positionV>
            <wp:extent cx="359410" cy="5245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3630930</wp:posOffset>
                </wp:positionH>
                <wp:positionV relativeFrom="paragraph">
                  <wp:posOffset>567055</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5.90000000000003pt;margin-top:44.649999999999999pt;width:101.05pt;height:7.90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3590925</wp:posOffset>
                </wp:positionH>
                <wp:positionV relativeFrom="paragraph">
                  <wp:posOffset>250190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2.75pt;margin-top:19.699999999999999pt;width:135.59999999999999pt;height:20.40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8" behindDoc="0" locked="0" layoutInCell="1" allowOverlap="1">
                <wp:simplePos x="0" y="0"/>
                <wp:positionH relativeFrom="page">
                  <wp:posOffset>6221730</wp:posOffset>
                </wp:positionH>
                <wp:positionV relativeFrom="paragraph">
                  <wp:posOffset>88900</wp:posOffset>
                </wp:positionV>
                <wp:extent cx="963295" cy="252730"/>
                <wp:wrapTopAndBottom/>
                <wp:docPr id="25" name="Shape 25"/>
                <a:graphic xmlns:a="http://schemas.openxmlformats.org/drawingml/2006/main">
                  <a:graphicData uri="http://schemas.microsoft.com/office/word/2010/wordprocessingShape">
                    <wps:wsp>
                      <wps:cNvSpPr txBox="1"/>
                      <wps:spPr>
                        <a:xfrm>
                          <a:ext cx="963295" cy="2527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Н.Г. Пызина</w:t>
                            </w:r>
                          </w:p>
                        </w:txbxContent>
                      </wps:txbx>
                      <wps:bodyPr wrap="none" lIns="0" tIns="0" rIns="0" bIns="0">
                        <a:noAutoFit/>
                      </wps:bodyPr>
                    </wps:wsp>
                  </a:graphicData>
                </a:graphic>
              </wp:anchor>
            </w:drawing>
          </mc:Choice>
          <mc:Fallback>
            <w:pict>
              <v:shape id="_x0000_s1051" type="#_x0000_t202" style="position:absolute;margin-left:489.90000000000003pt;margin-top:7.pt;width:75.850000000000009pt;height:19.900000000000002pt;z-index:-125829365;mso-wrap-distance-left:0;mso-wrap-distance-top:7.pt;mso-wrap-distance-right:0;mso-wrap-distance-bottom:26.900000000000002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Н.Г. Пызина</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left"/>
        <w:rPr>
          <w:sz w:val="11"/>
          <w:szCs w:val="11"/>
        </w:rPr>
      </w:pPr>
      <w:r>
        <w:rPr>
          <w:rStyle w:val="CharStyle33"/>
        </w:rPr>
        <w:t xml:space="preserve">Кому выдан: </w:t>
      </w:r>
      <w:r>
        <w:rPr>
          <w:rStyle w:val="CharStyle33"/>
          <w:color w:val="000000"/>
          <w:sz w:val="11"/>
          <w:szCs w:val="11"/>
        </w:rPr>
        <w:t>Пызина Наталья Геннадьевна</w:t>
      </w:r>
    </w:p>
    <w:p>
      <w:pPr>
        <w:pStyle w:val="Style32"/>
        <w:keepNext w:val="0"/>
        <w:keepLines w:val="0"/>
        <w:widowControl w:val="0"/>
        <w:shd w:val="clear" w:color="auto" w:fill="auto"/>
        <w:bidi w:val="0"/>
        <w:spacing w:before="0" w:after="0" w:line="240" w:lineRule="auto"/>
        <w:ind w:right="0" w:firstLine="0"/>
        <w:jc w:val="left"/>
      </w:pPr>
      <w:r>
        <w:rPr>
          <w:rStyle w:val="CharStyle33"/>
          <w:color w:val="292929"/>
        </w:rPr>
        <w:t xml:space="preserve">Сертификат № </w:t>
      </w:r>
      <w:r>
        <w:rPr>
          <w:rStyle w:val="CharStyle33"/>
        </w:rPr>
        <w:t>00С56С8781</w:t>
      </w:r>
      <w:r>
        <w:rPr>
          <w:rStyle w:val="CharStyle33"/>
          <w:lang w:val="en-US" w:eastAsia="en-US"/>
        </w:rPr>
        <w:t>C47F7A99896A531</w:t>
      </w:r>
      <w:r>
        <w:rPr>
          <w:rStyle w:val="CharStyle33"/>
        </w:rPr>
        <w:t>7801</w:t>
      </w:r>
      <w:r>
        <w:rPr>
          <w:rStyle w:val="CharStyle33"/>
          <w:color w:val="292929"/>
        </w:rPr>
        <w:t>В81</w:t>
      </w:r>
      <w:r>
        <w:rPr>
          <w:rStyle w:val="CharStyle33"/>
          <w:color w:val="292929"/>
          <w:lang w:val="en-US" w:eastAsia="en-US"/>
        </w:rPr>
        <w:t>ED</w:t>
      </w:r>
    </w:p>
    <w:p>
      <w:pPr>
        <w:pStyle w:val="Style32"/>
        <w:keepNext w:val="0"/>
        <w:keepLines w:val="0"/>
        <w:widowControl w:val="0"/>
        <w:shd w:val="clear" w:color="auto" w:fill="auto"/>
        <w:bidi w:val="0"/>
        <w:spacing w:before="0" w:after="280" w:line="240" w:lineRule="auto"/>
        <w:ind w:left="0" w:right="0" w:firstLine="0"/>
        <w:jc w:val="center"/>
      </w:pPr>
      <w:r>
        <w:rPr>
          <w:rStyle w:val="CharStyle33"/>
        </w:rPr>
        <w:t xml:space="preserve">Действителен с </w:t>
      </w:r>
      <w:r>
        <w:rPr>
          <w:rStyle w:val="CharStyle33"/>
          <w:color w:val="292929"/>
        </w:rPr>
        <w:t>11.11</w:t>
      </w:r>
      <w:r>
        <w:rPr>
          <w:rStyle w:val="CharStyle33"/>
        </w:rPr>
        <w:t>.2024 по 04.02.2026</w:t>
      </w:r>
    </w:p>
    <w:p>
      <w:pPr>
        <w:pStyle w:val="Style1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0" behindDoc="0" locked="0" layoutInCell="1" allowOverlap="1">
            <wp:simplePos x="0" y="0"/>
            <wp:positionH relativeFrom="page">
              <wp:posOffset>3170555</wp:posOffset>
            </wp:positionH>
            <wp:positionV relativeFrom="paragraph">
              <wp:posOffset>63500</wp:posOffset>
            </wp:positionV>
            <wp:extent cx="359410" cy="5181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3634105</wp:posOffset>
                </wp:positionH>
                <wp:positionV relativeFrom="paragraph">
                  <wp:posOffset>466090</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6.15000000000003pt;margin-top:36.700000000000003pt;width:100.8pt;height:7.9000000000000004pt;z-index:251657737;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3590925</wp:posOffset>
                </wp:positionH>
                <wp:positionV relativeFrom="paragraph">
                  <wp:posOffset>148590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2.75pt;margin-top:11.700000000000001pt;width:135.59999999999999pt;height:20.400000000000002pt;z-index:25165773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0"/>
        </w:rPr>
        <w:t>П.В. Попова</w:t>
      </w:r>
    </w:p>
    <w:p>
      <w:pPr>
        <w:pStyle w:val="Style32"/>
        <w:keepNext w:val="0"/>
        <w:keepLines w:val="0"/>
        <w:widowControl w:val="0"/>
        <w:shd w:val="clear" w:color="auto" w:fill="auto"/>
        <w:bidi w:val="0"/>
        <w:spacing w:before="0" w:after="0" w:line="240" w:lineRule="auto"/>
        <w:ind w:right="0" w:firstLine="0"/>
        <w:jc w:val="left"/>
        <w:rPr>
          <w:sz w:val="11"/>
          <w:szCs w:val="11"/>
        </w:rPr>
      </w:pPr>
      <w:r>
        <w:rPr>
          <w:rStyle w:val="CharStyle33"/>
        </w:rPr>
        <w:t xml:space="preserve">Кому выдан: </w:t>
      </w:r>
      <w:r>
        <w:rPr>
          <w:rStyle w:val="CharStyle33"/>
          <w:color w:val="000000"/>
          <w:sz w:val="11"/>
          <w:szCs w:val="11"/>
        </w:rPr>
        <w:t>Попова Полина Вячеславовна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5836309AD572A81D90F8607A0217131A</w:t>
      </w:r>
    </w:p>
    <w:p>
      <w:pPr>
        <w:pStyle w:val="Style32"/>
        <w:keepNext w:val="0"/>
        <w:keepLines w:val="0"/>
        <w:widowControl w:val="0"/>
        <w:shd w:val="clear" w:color="auto" w:fill="auto"/>
        <w:bidi w:val="0"/>
        <w:spacing w:before="0" w:after="220" w:line="240" w:lineRule="auto"/>
        <w:ind w:left="0" w:right="0" w:firstLine="0"/>
        <w:jc w:val="center"/>
      </w:pPr>
      <w:r>
        <w:rPr>
          <w:rStyle w:val="CharStyle33"/>
        </w:rPr>
        <w:t xml:space="preserve">Действителен с 03.06.2025 </w:t>
      </w:r>
      <w:r>
        <w:rPr>
          <w:rStyle w:val="CharStyle33"/>
          <w:color w:val="5E5E5E"/>
        </w:rPr>
        <w:t xml:space="preserve">по </w:t>
      </w:r>
      <w:r>
        <w:rPr>
          <w:rStyle w:val="CharStyle33"/>
        </w:rPr>
        <w:t>27.08.2026</w:t>
      </w:r>
    </w:p>
    <w:p>
      <w:pPr>
        <w:pStyle w:val="Style16"/>
        <w:keepNext w:val="0"/>
        <w:keepLines w:val="0"/>
        <w:widowControl w:val="0"/>
        <w:shd w:val="clear" w:color="auto" w:fill="auto"/>
        <w:bidi w:val="0"/>
        <w:spacing w:before="0" w:after="0" w:line="240" w:lineRule="auto"/>
        <w:ind w:left="0" w:right="0" w:firstLine="0"/>
        <w:jc w:val="left"/>
      </w:pPr>
      <w:r>
        <w:rPr>
          <w:rStyle w:val="CharStyle17"/>
        </w:rPr>
        <w:t>Исп.Попова П.В.</w:t>
      </w:r>
    </w:p>
    <w:p>
      <w:pPr>
        <w:pStyle w:val="Style16"/>
        <w:keepNext w:val="0"/>
        <w:keepLines w:val="0"/>
        <w:widowControl w:val="0"/>
        <w:shd w:val="clear" w:color="auto" w:fill="auto"/>
        <w:bidi w:val="0"/>
        <w:spacing w:before="0" w:after="120" w:line="240" w:lineRule="auto"/>
        <w:ind w:left="0" w:right="0" w:firstLine="0"/>
        <w:jc w:val="left"/>
      </w:pPr>
      <w:r>
        <w:rPr>
          <w:rStyle w:val="CharStyle17"/>
        </w:rPr>
        <w:t xml:space="preserve">тел.(499) </w:t>
      </w:r>
      <w:r>
        <w:rPr>
          <w:rStyle w:val="CharStyle17"/>
          <w:lang w:val="en-US" w:eastAsia="en-US"/>
        </w:rPr>
        <w:t xml:space="preserve">755-23-23, </w:t>
      </w:r>
      <w:r>
        <w:rPr>
          <w:rStyle w:val="CharStyle17"/>
        </w:rPr>
        <w:t xml:space="preserve">вн. </w:t>
      </w:r>
      <w:r>
        <w:rPr>
          <w:rStyle w:val="CharStyle17"/>
          <w:lang w:val="en-US" w:eastAsia="en-US"/>
        </w:rPr>
        <w:t>026-131</w:t>
      </w:r>
    </w:p>
    <w:sectPr>
      <w:footnotePr>
        <w:pos w:val="pageBottom"/>
        <w:numFmt w:val="decimal"/>
        <w:numRestart w:val="continuous"/>
      </w:footnotePr>
      <w:type w:val="continuous"/>
      <w:pgSz w:w="11900" w:h="16840"/>
      <w:pgMar w:top="1105" w:right="536" w:bottom="110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10028555</wp:posOffset>
              </wp:positionV>
              <wp:extent cx="6452870" cy="109855"/>
              <wp:wrapNone/>
              <wp:docPr id="1" name="Shape 1"/>
              <a:graphic xmlns:a="http://schemas.openxmlformats.org/drawingml/2006/main">
                <a:graphicData uri="http://schemas.microsoft.com/office/word/2010/wordprocessingShape">
                  <wps:wsp>
                    <wps:cNvSpPr txBox="1"/>
                    <wps:spPr>
                      <a:xfrm>
                        <a:ext cx="6452870" cy="109855"/>
                      </a:xfrm>
                      <a:prstGeom prst="rect"/>
                      <a:noFill/>
                    </wps:spPr>
                    <wps:txbx>
                      <w:txbxContent>
                        <w:p>
                          <w:pPr>
                            <w:pStyle w:val="Style4"/>
                            <w:keepNext w:val="0"/>
                            <w:keepLines w:val="0"/>
                            <w:widowControl w:val="0"/>
                            <w:shd w:val="clear" w:color="auto" w:fill="auto"/>
                            <w:tabs>
                              <w:tab w:pos="10162" w:val="right"/>
                            </w:tabs>
                            <w:bidi w:val="0"/>
                            <w:spacing w:before="0" w:after="0" w:line="240" w:lineRule="auto"/>
                            <w:ind w:left="0" w:right="0" w:firstLine="0"/>
                            <w:jc w:val="left"/>
                            <w:rPr>
                              <w:sz w:val="24"/>
                              <w:szCs w:val="24"/>
                            </w:rPr>
                          </w:pPr>
                          <w:r>
                            <w:rPr>
                              <w:rStyle w:val="CharStyle5"/>
                              <w:sz w:val="24"/>
                              <w:szCs w:val="24"/>
                            </w:rPr>
                            <w:t>2025-11628</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9.64999999999998pt;width:508.10000000000002pt;height:8.6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62" w:val="right"/>
                      </w:tabs>
                      <w:bidi w:val="0"/>
                      <w:spacing w:before="0" w:after="0" w:line="240" w:lineRule="auto"/>
                      <w:ind w:left="0" w:right="0" w:firstLine="0"/>
                      <w:jc w:val="left"/>
                      <w:rPr>
                        <w:sz w:val="24"/>
                        <w:szCs w:val="24"/>
                      </w:rPr>
                    </w:pPr>
                    <w:r>
                      <w:rPr>
                        <w:rStyle w:val="CharStyle5"/>
                        <w:sz w:val="24"/>
                        <w:szCs w:val="24"/>
                      </w:rPr>
                      <w:t>2025-11628</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722630" cy="109855"/>
              <wp:wrapNone/>
              <wp:docPr id="3" name="Shape 3"/>
              <a:graphic xmlns:a="http://schemas.openxmlformats.org/drawingml/2006/main">
                <a:graphicData uri="http://schemas.microsoft.com/office/word/2010/wordprocessingShape">
                  <wps:wsp>
                    <wps:cNvSpPr txBox="1"/>
                    <wps:spPr>
                      <a:xfrm>
                        <a:ext cx="72263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2025-11628</w:t>
                          </w:r>
                        </w:p>
                      </w:txbxContent>
                    </wps:txbx>
                    <wps:bodyPr wrap="none" lIns="0" tIns="0" rIns="0" bIns="0">
                      <a:spAutoFit/>
                    </wps:bodyPr>
                  </wps:wsp>
                </a:graphicData>
              </a:graphic>
            </wp:anchor>
          </w:drawing>
        </mc:Choice>
        <mc:Fallback>
          <w:pict>
            <v:shape id="_x0000_s1029" type="#_x0000_t202" style="position:absolute;margin-left:57.25pt;margin-top:775.70000000000005pt;width:56.89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2025-11628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 (5)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Body text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7">
    <w:name w:val="Heading #1_"/>
    <w:basedOn w:val="DefaultParagraphFont"/>
    <w:link w:val="Style26"/>
    <w:rPr>
      <w:rFonts w:ascii="Arial" w:eastAsia="Arial" w:hAnsi="Arial" w:cs="Arial"/>
      <w:b w:val="0"/>
      <w:bCs w:val="0"/>
      <w:i w:val="0"/>
      <w:iCs w:val="0"/>
      <w:smallCaps w:val="0"/>
      <w:strike w:val="0"/>
      <w:sz w:val="34"/>
      <w:szCs w:val="34"/>
      <w:u w:val="none"/>
      <w:lang w:val="en-US" w:eastAsia="en-US"/>
    </w:rPr>
  </w:style>
  <w:style w:type="character" w:customStyle="1" w:styleId="CharStyle29">
    <w:name w:val="Table caption_"/>
    <w:basedOn w:val="DefaultParagraphFont"/>
    <w:link w:val="Style28"/>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Other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character" w:customStyle="1" w:styleId="CharStyle33">
    <w:name w:val="Body text (2)_"/>
    <w:basedOn w:val="DefaultParagraphFont"/>
    <w:link w:val="Style32"/>
    <w:rPr>
      <w:rFonts w:ascii="Arial" w:eastAsia="Arial" w:hAnsi="Arial" w:cs="Arial"/>
      <w:b w:val="0"/>
      <w:bCs w:val="0"/>
      <w:i w:val="0"/>
      <w:iCs w:val="0"/>
      <w:smallCaps w:val="0"/>
      <w:strike w:val="0"/>
      <w:color w:val="444444"/>
      <w:sz w:val="12"/>
      <w:szCs w:val="12"/>
      <w:u w:val="none"/>
    </w:rPr>
  </w:style>
  <w:style w:type="paragraph" w:customStyle="1" w:styleId="Style2">
    <w:name w:val="Body text (6)"/>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4)"/>
    <w:basedOn w:val="Normal"/>
    <w:link w:val="CharStyle11"/>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Body text (5)"/>
    <w:basedOn w:val="Normal"/>
    <w:link w:val="CharStyle17"/>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 w:type="paragraph" w:styleId="Style19">
    <w:name w:val="Body text"/>
    <w:basedOn w:val="Normal"/>
    <w:link w:val="CharStyle2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Heading #1"/>
    <w:basedOn w:val="Normal"/>
    <w:link w:val="CharStyle27"/>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8">
    <w:name w:val="Table caption"/>
    <w:basedOn w:val="Normal"/>
    <w:link w:val="CharStyle29"/>
    <w:pPr>
      <w:widowControl w:val="0"/>
      <w:shd w:val="clear" w:color="auto" w:fill="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Other"/>
    <w:basedOn w:val="Normal"/>
    <w:link w:val="CharStyle3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2">
    <w:name w:val="Body text (2)"/>
    <w:basedOn w:val="Normal"/>
    <w:link w:val="CharStyle33"/>
    <w:pPr>
      <w:widowControl w:val="0"/>
      <w:shd w:val="clear" w:color="auto" w:fill="auto"/>
      <w:ind w:left="392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"ГОСТ 13015-2012. Межгосударственный стандарт. Изделия бетонные и железобетонные для строительства. Общие технические требования. Правила приемки, маркировки, транспортирования и хранения"(введен в действие Приказом Росстандарта от 27.12.2012 N 2072-ст)(ред. от 28.12.2023)</dc:title>
  <dc:subject/>
  <dc:creator/>
  <cp:keywords/>
</cp:coreProperties>
</file>