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800735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34958/25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05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34958/25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ИП Белина Т.В.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"mailto:tatyanabelinaa@gmail.com" </w:instrText>
      </w:r>
      <w:r>
        <w:fldChar w:fldCharType="separate"/>
      </w:r>
      <w:r>
        <w:rPr>
          <w:rStyle w:val="CharStyle7"/>
          <w:lang w:val="en-US" w:eastAsia="en-US"/>
        </w:rPr>
        <w:t>tatyanabelinaa@gmail.com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ФГБУ «НМИЦК им. ак. Е.И. Чазова»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left="1140" w:right="0" w:firstLine="0"/>
        <w:jc w:val="both"/>
      </w:pPr>
      <w:r>
        <w:fldChar w:fldCharType="begin"/>
      </w:r>
      <w:r>
        <w:rPr/>
        <w:instrText> HYPERLINK "mailto:omts-kardio@yandex.ru" </w:instrText>
      </w:r>
      <w:r>
        <w:fldChar w:fldCharType="separate"/>
      </w:r>
      <w:r>
        <w:rPr>
          <w:rStyle w:val="CharStyle7"/>
          <w:lang w:val="en-US" w:eastAsia="en-US"/>
        </w:rPr>
        <w:t>omts-kardio@yandex.ru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№077/06/106-10610/2025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27.08.2025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«НМИЦК им. ак. Е.И. Чазова» Минздрава России: К.А. Русакова (по доверенности №б/н от </w:t>
      </w:r>
      <w:r>
        <w:rPr>
          <w:rStyle w:val="CharStyle7"/>
          <w:lang w:val="en-US" w:eastAsia="en-US"/>
        </w:rPr>
        <w:t>13.08.2025),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ИП Белина Т.В.: Н.В. Пивоварова (по доверенности от </w:t>
      </w:r>
      <w:r>
        <w:rPr>
          <w:rStyle w:val="CharStyle7"/>
          <w:lang w:val="en-US" w:eastAsia="en-US"/>
        </w:rPr>
        <w:t>09.04.2025),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ИП Белина Т.В.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«НМИЦК им. ак. Е.И. Чазова»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расходного материала </w:t>
      </w:r>
      <w:r>
        <w:rPr>
          <w:rStyle w:val="CharStyle7"/>
          <w:lang w:val="en-US" w:eastAsia="en-US"/>
        </w:rPr>
        <w:t xml:space="preserve">(417)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>№</w:t>
      </w:r>
      <w:r>
        <w:rPr>
          <w:rStyle w:val="CharStyle7"/>
          <w:color w:val="111111"/>
          <w:lang w:val="en-US" w:eastAsia="en-US"/>
        </w:rPr>
        <w:t xml:space="preserve">0373100015825000442)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составе жалобы Заявитель указывает, что установленные Заказчиком требования к характеристикам необходимых к поставке расходных материалов по п.13 «Проводник для доступа к коронарным/периферическим сосудам, одноразового использования. Идентификатор: </w:t>
      </w:r>
      <w:r>
        <w:rPr>
          <w:rStyle w:val="CharStyle7"/>
          <w:lang w:val="en-US" w:eastAsia="en-US"/>
        </w:rPr>
        <w:t xml:space="preserve">189041738» </w:t>
      </w:r>
      <w:r>
        <w:rPr>
          <w:rStyle w:val="CharStyle7"/>
        </w:rPr>
        <w:t xml:space="preserve">ограничивают круг участников закупки, поскольку совокупности установленных требований соответствуют исключительно изделия производителя компании «Проводник с полимерным кончиком </w:t>
      </w:r>
      <w:r>
        <w:rPr>
          <w:rStyle w:val="CharStyle7"/>
          <w:lang w:val="en-US" w:eastAsia="en-US"/>
        </w:rPr>
        <w:t xml:space="preserve">Victory </w:t>
      </w:r>
      <w:r>
        <w:rPr>
          <w:rStyle w:val="CharStyle7"/>
        </w:rPr>
        <w:t xml:space="preserve">с гидрофильным покрытием» (РУ №РЗН </w:t>
      </w:r>
      <w:r>
        <w:rPr>
          <w:rStyle w:val="CharStyle7"/>
          <w:lang w:val="en-US" w:eastAsia="en-US"/>
        </w:rPr>
        <w:t xml:space="preserve">2020/10518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26.05.2025).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этом ограничивающими условиями являются указание на следующие требования,а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«Жесткость: </w:t>
      </w:r>
      <w:r>
        <w:rPr>
          <w:rStyle w:val="CharStyle7"/>
          <w:i/>
          <w:iCs/>
          <w:lang w:val="en-US" w:eastAsia="en-US"/>
        </w:rPr>
        <w:t>≥ 15;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Серебряно-оловянный припой: наличие;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Наличие вкраплений вольфрама: наличие;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Длина гидрофильного покрытия: </w:t>
      </w:r>
      <w:r>
        <w:rPr>
          <w:rStyle w:val="CharStyle7"/>
          <w:i/>
          <w:iCs/>
          <w:lang w:val="en-US" w:eastAsia="en-US"/>
        </w:rPr>
        <w:t xml:space="preserve">250 </w:t>
      </w:r>
      <w:r>
        <w:rPr>
          <w:rStyle w:val="CharStyle7"/>
          <w:i/>
          <w:iCs/>
        </w:rPr>
        <w:t xml:space="preserve">или </w:t>
      </w:r>
      <w:r>
        <w:rPr>
          <w:rStyle w:val="CharStyle7"/>
          <w:i/>
          <w:iCs/>
          <w:lang w:val="en-US" w:eastAsia="en-US"/>
        </w:rPr>
        <w:t xml:space="preserve">350 </w:t>
      </w:r>
      <w:r>
        <w:rPr>
          <w:rStyle w:val="CharStyle7"/>
          <w:i/>
          <w:iCs/>
        </w:rPr>
        <w:t>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120" w:line="290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60" w:right="540" w:bottom="757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</w:t>
      </w:r>
      <w:r>
        <w:rPr>
          <w:rStyle w:val="CharStyle7"/>
          <w:sz w:val="24"/>
          <w:szCs w:val="24"/>
          <w:lang w:val="en-US" w:eastAsia="en-US"/>
        </w:rPr>
        <w:t>2025-39401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Заказчика, не согласившись с данным доводом жалобы пояснил, что совокупности установленных требований, в том числе оспариваемым позициям извещения, соответствует товар иного производителя, помимо указанного Заявителем в жалобе, например: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«Проводник ангиографический </w:t>
      </w:r>
      <w:r>
        <w:rPr>
          <w:rStyle w:val="CharStyle7"/>
          <w:lang w:val="en-US" w:eastAsia="en-US"/>
        </w:rPr>
        <w:t xml:space="preserve">RADIFOCUS® Glidewire Advantage </w:t>
      </w:r>
      <w:r>
        <w:rPr>
          <w:rStyle w:val="CharStyle7"/>
        </w:rPr>
        <w:t xml:space="preserve">в различных вариантах исполнения» производства «Терумо Корпорейшн», Япония, регистрационное удостоверение №РЗН </w:t>
      </w:r>
      <w:r>
        <w:rPr>
          <w:rStyle w:val="CharStyle7"/>
          <w:lang w:val="en-US" w:eastAsia="en-US"/>
        </w:rPr>
        <w:t xml:space="preserve">2017/5426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26.09.2022, </w:t>
      </w:r>
      <w:r>
        <w:rPr>
          <w:rStyle w:val="CharStyle7"/>
        </w:rPr>
        <w:t xml:space="preserve">в том числе по оспариваемой характеристике «Жесткость» согласно инструкции: более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грамм/силы (0,147Н); длина гидрофильного покрытия на дистальном конце проводника </w:t>
      </w:r>
      <w:r>
        <w:rPr>
          <w:rStyle w:val="CharStyle7"/>
          <w:lang w:val="en-US" w:eastAsia="en-US"/>
        </w:rPr>
        <w:t xml:space="preserve">25 </w:t>
      </w:r>
      <w:r>
        <w:rPr>
          <w:rStyle w:val="CharStyle7"/>
        </w:rPr>
        <w:t>см.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представитель Заявителя пояснил, что данный товар не соответствует потребности Заказчика, поскольку инструкция на сайте Росздравнадзора, размещенная по данному регистрационному удостоверению, не содержит указания на наличие таких характеристик, как: «Серебряно-оловянный припой», «Наличие вкраплений вольфрама», что не соответствует требованиям описания объекта закупки.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Одновременно с этим при изучении представленных документов и сведений, а также информации, размещенной на официальном сайте Росздравнадзора, в том числе инструкции на регистрационное удостоверение №№РЗН </w:t>
      </w:r>
      <w:r>
        <w:rPr>
          <w:rStyle w:val="CharStyle7"/>
          <w:lang w:val="en-US" w:eastAsia="en-US"/>
        </w:rPr>
        <w:t xml:space="preserve">2017/5426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26.09.2022, </w:t>
      </w:r>
      <w:r>
        <w:rPr>
          <w:rStyle w:val="CharStyle7"/>
        </w:rPr>
        <w:t>Комиссия Управления установила наличие сведений относительно серебряно-оловянного припоя, что нашло свое отражение на стр.25 инструкции, а именно: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94615" distB="170815" distL="0" distR="0" simplePos="0" relativeHeight="125829382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94615</wp:posOffset>
                </wp:positionV>
                <wp:extent cx="938530" cy="74676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746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Style w:val="CharStyle17"/>
                              </w:rPr>
                              <w:t>Защитная дегаль кромки @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5.400000000000006pt;margin-top:7.4500000000000002pt;width:73.900000000000006pt;height:58.800000000000004pt;z-index:-125829371;mso-wrap-distance-left:0;mso-wrap-distance-top:7.4500000000000002pt;mso-wrap-distance-right:0;mso-wrap-distance-bottom:13.4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Style w:val="CharStyle17"/>
                        </w:rPr>
                        <w:t>Защитная дегаль кромки @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2192020</wp:posOffset>
                </wp:positionH>
                <wp:positionV relativeFrom="paragraph">
                  <wp:posOffset>0</wp:posOffset>
                </wp:positionV>
                <wp:extent cx="5010785" cy="1012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10785" cy="10121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122"/>
                              <w:gridCol w:w="5770"/>
                            </w:tblGrid>
                            <w:tr>
                              <w:trPr>
                                <w:tblHeader/>
                                <w:trHeight w:val="103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color w:val="474748"/>
                                      <w:sz w:val="30"/>
                                      <w:szCs w:val="30"/>
                                    </w:rPr>
                                    <w:t>Металлически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color w:val="474748"/>
                                      <w:sz w:val="30"/>
                                      <w:szCs w:val="30"/>
                                    </w:rPr>
                                    <w:t>с детали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color w:val="5D5D5D"/>
                                      <w:sz w:val="30"/>
                                      <w:szCs w:val="30"/>
                                    </w:rPr>
                                    <w:t>Пл ат и но иридиевый сплав 100%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color w:val="474748"/>
                                      <w:sz w:val="30"/>
                                      <w:szCs w:val="30"/>
                                    </w:rPr>
                                    <w:t>Припой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color w:val="22394C"/>
                                      <w:sz w:val="30"/>
                                      <w:szCs w:val="30"/>
                                    </w:rPr>
                                    <w:t xml:space="preserve">Припой из </w:t>
                                  </w:r>
                                  <w:r>
                                    <w:rPr>
                                      <w:rStyle w:val="CharStyle19"/>
                                      <w:color w:val="22394C"/>
                                      <w:sz w:val="30"/>
                                      <w:szCs w:val="30"/>
                                      <w:lang w:val="en-US" w:eastAsia="en-US"/>
                                    </w:rPr>
                                    <w:t xml:space="preserve">Sn-Ag </w:t>
                                  </w:r>
                                  <w:r>
                                    <w:rPr>
                                      <w:rStyle w:val="CharStyle19"/>
                                      <w:color w:val="22394C"/>
                                      <w:sz w:val="30"/>
                                      <w:szCs w:val="30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72.59999999999999pt;margin-top:0;width:394.55000000000001pt;height:79.700000000000003pt;z-index:-125829369;mso-wrap-distance-left:0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122"/>
                        <w:gridCol w:w="5770"/>
                      </w:tblGrid>
                      <w:tr>
                        <w:trPr>
                          <w:tblHeader/>
                          <w:trHeight w:val="1037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9"/>
                                <w:color w:val="474748"/>
                                <w:sz w:val="30"/>
                                <w:szCs w:val="30"/>
                              </w:rPr>
                              <w:t>Металлически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9"/>
                                <w:color w:val="474748"/>
                                <w:sz w:val="30"/>
                                <w:szCs w:val="30"/>
                              </w:rPr>
                              <w:t>с детали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9"/>
                                <w:color w:val="5D5D5D"/>
                                <w:sz w:val="30"/>
                                <w:szCs w:val="30"/>
                              </w:rPr>
                              <w:t>Пл ат и но иридиевый сплав 100%</w:t>
                            </w:r>
                          </w:p>
                        </w:tc>
                      </w:tr>
                      <w:tr>
                        <w:trPr>
                          <w:trHeight w:val="557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9"/>
                                <w:color w:val="474748"/>
                                <w:sz w:val="30"/>
                                <w:szCs w:val="30"/>
                              </w:rPr>
                              <w:t>Припой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9"/>
                                <w:color w:val="22394C"/>
                                <w:sz w:val="30"/>
                                <w:szCs w:val="30"/>
                              </w:rPr>
                              <w:t xml:space="preserve">Припой из </w:t>
                            </w:r>
                            <w:r>
                              <w:rPr>
                                <w:rStyle w:val="CharStyle19"/>
                                <w:color w:val="22394C"/>
                                <w:sz w:val="30"/>
                                <w:szCs w:val="30"/>
                                <w:lang w:val="en-US" w:eastAsia="en-US"/>
                              </w:rPr>
                              <w:t xml:space="preserve">Sn-Ag </w:t>
                            </w:r>
                            <w:r>
                              <w:rPr>
                                <w:rStyle w:val="CharStyle19"/>
                                <w:color w:val="22394C"/>
                                <w:sz w:val="30"/>
                                <w:szCs w:val="30"/>
                              </w:rPr>
                              <w:t>100%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80"/>
        <w:jc w:val="both"/>
      </w:pPr>
      <w:r>
        <w:rPr>
          <w:rStyle w:val="CharStyle7"/>
        </w:rPr>
        <w:t>Также Комиссией Управления установлено, согласно сведениям, размещенным на стр. 25 инструкции, что данное медицинское изделие обладает характеристикой «</w:t>
      </w:r>
      <w:r>
        <w:rPr>
          <w:rStyle w:val="CharStyle7"/>
          <w:i/>
          <w:iCs/>
        </w:rPr>
        <w:t>Наличие вкраплений вольфрам»,</w:t>
      </w:r>
      <w:r>
        <w:rPr>
          <w:rStyle w:val="CharStyle7"/>
        </w:rPr>
        <w:t xml:space="preserve"> что также подтверждено информацией о процентном содержании зерненного вольфрама, что не может не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свидетельствовать о его вкраплении:</w:t>
      </w:r>
    </w:p>
    <w:tbl>
      <w:tblPr>
        <w:tblOverlap w:val="never"/>
        <w:jc w:val="center"/>
        <w:tblLayout w:type="fixed"/>
      </w:tblPr>
      <w:tblGrid>
        <w:gridCol w:w="4133"/>
        <w:gridCol w:w="1910"/>
        <w:gridCol w:w="3816"/>
      </w:tblGrid>
      <w:tr>
        <w:trPr>
          <w:trHeight w:val="81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Style w:val="CharStyle19"/>
                <w:color w:val="5D5D5D"/>
                <w:sz w:val="30"/>
                <w:szCs w:val="30"/>
              </w:rPr>
              <w:t>Первое покрытие Ф®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Style w:val="CharStyle19"/>
                <w:color w:val="474748"/>
                <w:sz w:val="30"/>
                <w:szCs w:val="30"/>
              </w:rPr>
              <w:t>Полиуретан, содержащий вольфрам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Style w:val="CharStyle19"/>
                <w:color w:val="22394C"/>
                <w:sz w:val="30"/>
                <w:szCs w:val="30"/>
              </w:rPr>
              <w:t>Зернений вольфрам 45%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Style w:val="CharStyle19"/>
                <w:color w:val="5D5D5D"/>
                <w:sz w:val="30"/>
                <w:szCs w:val="30"/>
              </w:rPr>
              <w:t>Полиуретан 55%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6"/>
        </w:rPr>
        <w:t>Иных доказательств, что данное изделие не соответствует требованиям описания объекта закупки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7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этом Комиссия Управления отмечает, что предъявленные Заказчиком требования к поставляемым товарам в равной степени распространялись на всех участников аукциона, ввиду чего любое лицо обладало возможностью закупить и поставить требуемые товары.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Признать жалобу ИП Белина Т.В. на действия ФГБУ «НМИЦК им. ак. Е.И. Чазова»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158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6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100000000000001pt;margin-top:10.pt;width:145.20000000000002pt;height:19.900000000000002pt;z-index:-125829367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8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69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9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5.15000000000003pt;margin-top:10.pt;width:102.95pt;height:19.900000000000002pt;z-index:-125829364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Кутейников Антон Андреевич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67950889C45403E5BD9EBC88A8D80C0D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31"/>
        </w:rPr>
        <w:t xml:space="preserve">Действителен с 19.05.2025 </w:t>
      </w:r>
      <w:r>
        <w:rPr>
          <w:rStyle w:val="CharStyle31"/>
          <w:color w:val="5D5D5D"/>
        </w:rPr>
        <w:t xml:space="preserve">по </w:t>
      </w:r>
      <w:r>
        <w:rPr>
          <w:rStyle w:val="CharStyle3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85000000000002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9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Челнова Олеся Антоновна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05605B6072C3BC92D25AFCA81C80B531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31"/>
        </w:rPr>
        <w:t xml:space="preserve">Действителен с 23.05.2025 </w:t>
      </w:r>
      <w:r>
        <w:rPr>
          <w:rStyle w:val="CharStyle31"/>
          <w:color w:val="5D5D5D"/>
        </w:rPr>
        <w:t xml:space="preserve">по </w:t>
      </w:r>
      <w:r>
        <w:rPr>
          <w:rStyle w:val="CharStyle31"/>
        </w:rPr>
        <w:t>16.08.2026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85000000000002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69999999999999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Матюшенко Александр Александрович</w:t>
      </w:r>
      <w:r>
        <w:rPr>
          <w:rStyle w:val="CharStyle31"/>
          <w:color w:val="000000"/>
        </w:rPr>
        <w:t xml:space="preserve"> </w:t>
      </w: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4F595A5C3E5ABB2DD77161F08559FC07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060" w:line="266" w:lineRule="auto"/>
        <w:ind w:right="0" w:firstLine="0"/>
        <w:jc w:val="left"/>
      </w:pPr>
      <w:r>
        <w:rPr>
          <w:rStyle w:val="CharStyle31"/>
        </w:rPr>
        <w:t xml:space="preserve">Действителен с 22.07.2025 </w:t>
      </w:r>
      <w:r>
        <w:rPr>
          <w:rStyle w:val="CharStyle31"/>
          <w:color w:val="5D5D5D"/>
        </w:rPr>
        <w:t xml:space="preserve">по </w:t>
      </w:r>
      <w:r>
        <w:rPr>
          <w:rStyle w:val="CharStyle31"/>
        </w:rPr>
        <w:t>15.10.2026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6"/>
        </w:rPr>
        <w:t>Исп.Челнова О.А.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6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10276840</wp:posOffset>
              </wp:positionV>
              <wp:extent cx="70739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en-US" w:eastAsia="en-US"/>
                            </w:rPr>
                            <w:t>2025-39401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809.20000000000005pt;width:55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en-US" w:eastAsia="en-US"/>
                      </w:rPr>
                      <w:t>2025-39401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2025-39401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149999999999999pt;margin-top:794.70000000000005pt;width:56.649999999999999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2025-39401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2025-39401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149999999999999pt;margin-top:794.70000000000005pt;width:56.64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2025-39401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410845</wp:posOffset>
              </wp:positionV>
              <wp:extent cx="6985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0000000000003pt;margin-top:32.350000000000001pt;width:5.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410845</wp:posOffset>
              </wp:positionV>
              <wp:extent cx="6985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0000000000003pt;margin-top:32.350000000000001pt;width:5.5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8.65000000000003pt;margin-top:40.100000000000001pt;width:5.2999999999999998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4748"/>
      <w:sz w:val="30"/>
      <w:szCs w:val="30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Table caption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Body text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8"/>
      <w:sz w:val="12"/>
      <w:szCs w:val="12"/>
      <w:u w:val="none"/>
    </w:rPr>
  </w:style>
  <w:style w:type="character" w:customStyle="1" w:styleId="CharStyle36">
    <w:name w:val="Body text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line="269" w:lineRule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4748"/>
      <w:sz w:val="30"/>
      <w:szCs w:val="30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Table caption"/>
    <w:basedOn w:val="Normal"/>
    <w:link w:val="CharStyle26"/>
    <w:pPr>
      <w:widowControl w:val="0"/>
      <w:shd w:val="clear" w:color="auto" w:fill="auto"/>
      <w:ind w:firstLine="6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8"/>
      <w:sz w:val="12"/>
      <w:szCs w:val="12"/>
      <w:u w:val="none"/>
    </w:rPr>
  </w:style>
  <w:style w:type="paragraph" w:customStyle="1" w:styleId="Style35">
    <w:name w:val="Body text (4)"/>
    <w:basedOn w:val="Normal"/>
    <w:link w:val="CharStyle36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