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01.09.2025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34968/25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5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01.09.2025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34968/25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5080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ГБУЗ «ГП </w:t>
      </w:r>
      <w:r>
        <w:rPr>
          <w:rStyle w:val="CharStyle7"/>
          <w:lang w:val="en-US" w:eastAsia="en-US"/>
        </w:rPr>
        <w:t xml:space="preserve">№109 </w:t>
      </w:r>
      <w:r>
        <w:rPr>
          <w:rStyle w:val="CharStyle7"/>
        </w:rPr>
        <w:t>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"mailto:kirsanovamv@zdrav.mos.ru" </w:instrText>
      </w:r>
      <w:r>
        <w:fldChar w:fldCharType="separate"/>
      </w:r>
      <w:r>
        <w:rPr>
          <w:rStyle w:val="CharStyle7"/>
          <w:lang w:val="en-US" w:eastAsia="en-US"/>
        </w:rPr>
        <w:t>kirsanovamv@zdrav.mos.ru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ООО «Дегс»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320" w:line="240" w:lineRule="auto"/>
        <w:ind w:left="1140" w:right="0" w:firstLine="0"/>
        <w:jc w:val="both"/>
      </w:pPr>
      <w:r>
        <w:fldChar w:fldCharType="begin"/>
      </w:r>
      <w:r>
        <w:rPr/>
        <w:instrText> HYPERLINK "mailto:degs2019@mail.ru" </w:instrText>
      </w:r>
      <w:r>
        <w:fldChar w:fldCharType="separate"/>
      </w:r>
      <w:r>
        <w:rPr>
          <w:rStyle w:val="CharStyle7"/>
          <w:lang w:val="en-US" w:eastAsia="en-US"/>
        </w:rPr>
        <w:t>degs2019@mail.ru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6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077/06/106-10809/2025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27.08.2025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видео- конференц 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отсутствие представителей ГБУЗ «ГП </w:t>
      </w:r>
      <w:r>
        <w:rPr>
          <w:rStyle w:val="CharStyle7"/>
          <w:lang w:val="en-US" w:eastAsia="en-US"/>
        </w:rPr>
        <w:t xml:space="preserve">№ 109 </w:t>
      </w:r>
      <w:r>
        <w:rPr>
          <w:rStyle w:val="CharStyle7"/>
        </w:rPr>
        <w:t>ДЗМ», ООО «Дегс»,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94" w:right="546" w:bottom="708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рассмотрев жалобу ООО «Дегс»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«ГП </w:t>
      </w:r>
      <w:r>
        <w:rPr>
          <w:rStyle w:val="CharStyle7"/>
          <w:lang w:val="en-US" w:eastAsia="en-US"/>
        </w:rPr>
        <w:t xml:space="preserve">№ 109 </w:t>
      </w:r>
      <w:r>
        <w:rPr>
          <w:rStyle w:val="CharStyle7"/>
        </w:rPr>
        <w:t xml:space="preserve">ДЗМ»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запроса котировок в электронной форме на право заключения государственного контракта на поставку крючков для одежды в рамках проекта «Новый Московский стандарт поликлиник» для нужд ГБУЗ «ГП </w:t>
      </w:r>
      <w:r>
        <w:rPr>
          <w:rStyle w:val="CharStyle7"/>
          <w:lang w:val="en-US" w:eastAsia="en-US"/>
        </w:rPr>
        <w:t xml:space="preserve">№ 109 </w:t>
      </w:r>
      <w:r>
        <w:rPr>
          <w:rStyle w:val="CharStyle7"/>
        </w:rPr>
        <w:t xml:space="preserve">ДЗМ» в 2025г (Закупка </w:t>
      </w:r>
      <w:r>
        <w:rPr>
          <w:rStyle w:val="CharStyle7"/>
          <w:lang w:val="en-US" w:eastAsia="en-US"/>
        </w:rPr>
        <w:t xml:space="preserve">№ 0373200563925000037)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запрос котировок),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>44-ФЗ «О контрактной системе в сфере закупок товаров, работ, услуг для обеспечения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both"/>
      </w:pPr>
      <w:r>
        <w:rPr>
          <w:rStyle w:val="CharStyle7"/>
        </w:rPr>
        <w:t xml:space="preserve">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составе жалобы Заявитель указывает, что комиссией Заказчика неправомерно не применены ограничения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23.12.2024 № 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>№ 1875).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19.08.2025 </w:t>
      </w:r>
      <w:r>
        <w:rPr>
          <w:rStyle w:val="CharStyle7"/>
        </w:rPr>
        <w:t xml:space="preserve">№ИЗК1 на участие в закупке подано и признано соответствующими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заявки, при этом заявка с идентификационным номером </w:t>
      </w:r>
      <w:r>
        <w:rPr>
          <w:rStyle w:val="CharStyle7"/>
          <w:lang w:val="en-US" w:eastAsia="en-US"/>
        </w:rPr>
        <w:t xml:space="preserve">№ 2237599 </w:t>
      </w:r>
      <w:r>
        <w:rPr>
          <w:rStyle w:val="CharStyle7"/>
        </w:rPr>
        <w:t>является победителем.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основании п.1, п.3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системе,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Комиссией Управления установлено, что объектом закупки является «Крючок для одежды, металл».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20"/>
        <w:jc w:val="both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652" w:right="545" w:bottom="1724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В силу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Style w:val="CharStyle7"/>
        </w:rPr>
        <w:t>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Согласно п.1 ч.2 ст.14 Закона о контрактной системе Правительство Российской Федерации: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310" w:lineRule="auto"/>
        <w:ind w:left="0" w:right="0" w:firstLine="720"/>
        <w:jc w:val="both"/>
        <w:rPr>
          <w:sz w:val="24"/>
          <w:szCs w:val="24"/>
        </w:rPr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652" w:right="550" w:bottom="1417" w:left="1101" w:header="0" w:footer="989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</w:t>
      </w:r>
      <w:r>
        <w:rPr>
          <w:rStyle w:val="CharStyle7"/>
          <w:sz w:val="24"/>
          <w:szCs w:val="24"/>
          <w:lang w:val="en-US" w:eastAsia="en-US"/>
        </w:rPr>
        <w:t>2025-39471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7"/>
        </w:rPr>
        <w:t>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Комиссией Управления установлено, что Заказчиком в извещении об осуществлении закупки Заказчиком установлено преимущество в отношении товаров российского происхождения на основании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Согласно представленным Заказчиком возражениям у комиссии Заказчика отсутствовали правовые основания для применения ограничений, поскольку в извещении установлено преимущество.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Вместе с тем Заявитель в составе жалоба также оспаривает положения извещения, при этом, доводы о формировании извещения в нарушение положений Закона о контрактной системе не могут быть рассмотрены Комиссией Управления при рассмотрении жалобы на действия комиссии по осуществлению закупок Заказчика, так как обжалование положений извещения, согласно п.1 ч.2 ст.105 Закона о контрактной системе, возможно до окончания срока подачи заявок на участие в закупке, а не на этапе их рассмотрения. При этом Заявитель, подав заявку на участие в закупке, конклюдентно согласился со всеми условиями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комиссии Заказчика не предоставлялось возможным применить ограничение закупок товаров, происходящих из иностранных государств, работ, услуг, соответственно выполняемых, оказываемых иностранными лицами, так как в извещении установлено преимущество в отношении товаров российского происхождения, ввиду чего Комиссия Управления приходит к выводу о том, что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3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9" w:val="left"/>
        </w:tabs>
        <w:bidi w:val="0"/>
        <w:spacing w:before="0" w:after="0" w:line="230" w:lineRule="auto"/>
        <w:ind w:left="0" w:right="0" w:firstLine="740"/>
        <w:jc w:val="both"/>
      </w:pPr>
      <w:r>
        <w:rPr>
          <w:rStyle w:val="CharStyle7"/>
        </w:rPr>
        <w:t xml:space="preserve">.Признать жалобу ООО «Дегс» на действия комиссии ГБУЗ «ГП </w:t>
      </w:r>
      <w:r>
        <w:rPr>
          <w:rStyle w:val="CharStyle7"/>
          <w:lang w:val="en-US" w:eastAsia="en-US"/>
        </w:rPr>
        <w:t xml:space="preserve">№ 109 </w:t>
      </w:r>
      <w:r>
        <w:rPr>
          <w:rStyle w:val="CharStyle7"/>
        </w:rPr>
        <w:t>ДЗМ»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4" w:val="left"/>
        </w:tabs>
        <w:bidi w:val="0"/>
        <w:spacing w:before="0" w:after="0" w:line="230" w:lineRule="auto"/>
        <w:ind w:left="0" w:right="0" w:firstLine="740"/>
        <w:jc w:val="both"/>
      </w:pPr>
      <w:r>
        <w:rPr>
          <w:rStyle w:val="CharStyle7"/>
        </w:rPr>
        <w:t>.Жалобу в части обжалования положений извещения об осуществлении закупки оставить без рассмотрения в соответствии ч.2 ст.105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240" w:line="230" w:lineRule="auto"/>
        <w:ind w:left="0" w:right="0" w:firstLine="740"/>
        <w:jc w:val="both"/>
      </w:pPr>
      <w:r>
        <w:rPr>
          <w:rStyle w:val="CharStyle7"/>
        </w:rPr>
        <w:t>.Снять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14"/>
          <w:footerReference w:type="default" r:id="rId15"/>
          <w:footnotePr>
            <w:pos w:val="pageBottom"/>
            <w:numFmt w:val="decimal"/>
            <w:numRestart w:val="continuous"/>
          </w:footnotePr>
          <w:pgSz w:w="11900" w:h="16840"/>
          <w:pgMar w:top="1664" w:right="535" w:bottom="2206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216535" distL="0" distR="0" simplePos="0" relativeHeight="125829382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533400</wp:posOffset>
                </wp:positionV>
                <wp:extent cx="184404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pt;margin-top:42.pt;width:145.20000000000002pt;height:19.900000000000002pt;z-index:-125829371;mso-wrap-distance-left:0;mso-wrap-distance-top:42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6425" distB="0" distL="0" distR="1786255" simplePos="0" relativeHeight="125829384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606425</wp:posOffset>
            </wp:positionV>
            <wp:extent cx="359410" cy="39624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694690</wp:posOffset>
                </wp:positionV>
                <wp:extent cx="1725295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40000000000003pt;margin-top:54.700000000000003pt;width:135.84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216535" distL="0" distR="0" simplePos="0" relativeHeight="125829385" behindDoc="0" locked="0" layoutInCell="1" allowOverlap="1">
                <wp:simplePos x="0" y="0"/>
                <wp:positionH relativeFrom="page">
                  <wp:posOffset>6079490</wp:posOffset>
                </wp:positionH>
                <wp:positionV relativeFrom="paragraph">
                  <wp:posOffset>533400</wp:posOffset>
                </wp:positionV>
                <wp:extent cx="113665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8.69999999999999pt;margin-top:42.pt;width:89.5pt;height:19.900000000000002pt;z-index:-125829368;mso-wrap-distance-left:0;mso-wrap-distance-top:42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1"/>
          <w:szCs w:val="11"/>
        </w:rPr>
      </w:pPr>
      <w:r>
        <w:rPr>
          <w:rStyle w:val="CharStyle17"/>
          <w:color w:val="FFFFFF"/>
          <w:sz w:val="11"/>
          <w:szCs w:val="11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  <w:sz w:val="11"/>
          <w:szCs w:val="11"/>
        </w:rPr>
        <w:t>Грешнева Дарья Сергеевна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  <w:color w:val="292929"/>
        </w:rPr>
        <w:t xml:space="preserve">Сертификат № </w:t>
      </w:r>
      <w:r>
        <w:rPr>
          <w:rStyle w:val="CharStyle17"/>
          <w:color w:val="5D5D5D"/>
        </w:rPr>
        <w:t>00831</w:t>
      </w:r>
      <w:r>
        <w:rPr>
          <w:rStyle w:val="CharStyle17"/>
          <w:lang w:val="en-US" w:eastAsia="en-US"/>
        </w:rPr>
        <w:t>B7545C61281C4BAB156778A683BFB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7"/>
        </w:rPr>
        <w:t xml:space="preserve">Действителен с </w:t>
      </w:r>
      <w:r>
        <w:rPr>
          <w:rStyle w:val="CharStyle17"/>
          <w:color w:val="292929"/>
        </w:rPr>
        <w:t xml:space="preserve">17.07.2025 </w:t>
      </w:r>
      <w:r>
        <w:rPr>
          <w:rStyle w:val="CharStyle17"/>
          <w:color w:val="5D5D5D"/>
        </w:rPr>
        <w:t xml:space="preserve">по </w:t>
      </w:r>
      <w:r>
        <w:rPr>
          <w:rStyle w:val="CharStyle17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40000000000003pt;margin-top:11.700000000000001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1"/>
          <w:szCs w:val="11"/>
        </w:rPr>
      </w:pPr>
      <w:r>
        <w:rPr>
          <w:rStyle w:val="CharStyle17"/>
          <w:color w:val="FFFFFF"/>
          <w:sz w:val="11"/>
          <w:szCs w:val="11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  <w:sz w:val="11"/>
          <w:szCs w:val="11"/>
        </w:rPr>
        <w:t>Леонова Алена Альбертовна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009389F972AA570F22D19E7C51D28B0906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5765800</wp:posOffset>
                </wp:positionH>
                <wp:positionV relativeFrom="paragraph">
                  <wp:posOffset>457200</wp:posOffset>
                </wp:positionV>
                <wp:extent cx="1447800" cy="252730"/>
                <wp:wrapSquare wrapText="left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7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А.И. Рахматуллаев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54.pt;margin-top:36.pt;width:114.pt;height:19.900000000000002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А.И. Рахматуллаев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7"/>
        </w:rPr>
        <w:t>Действителен с 20.09.2024 по 14.12.2025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23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1"/>
          <w:szCs w:val="11"/>
        </w:rPr>
      </w:pPr>
      <w:r>
        <w:rPr>
          <w:rStyle w:val="CharStyle17"/>
          <w:color w:val="FFFFFF"/>
          <w:sz w:val="11"/>
          <w:szCs w:val="11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  <w:sz w:val="11"/>
          <w:szCs w:val="11"/>
        </w:rPr>
        <w:t>Рахматуллаев Алексей Ильич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7AEE97A08C8432425F146F6255A521C3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rStyle w:val="CharStyle17"/>
        </w:rPr>
        <w:t xml:space="preserve">Действителен с 12.11.2024 </w:t>
      </w:r>
      <w:r>
        <w:rPr>
          <w:rStyle w:val="CharStyle17"/>
          <w:color w:val="5D5D5D"/>
        </w:rPr>
        <w:t xml:space="preserve">по </w:t>
      </w:r>
      <w:r>
        <w:rPr>
          <w:rStyle w:val="CharStyle17"/>
        </w:rPr>
        <w:t>05.02.2026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 Леонова А.А. тел. 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969" w:right="532" w:bottom="196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10214610</wp:posOffset>
              </wp:positionV>
              <wp:extent cx="719455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2025-39471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804.30000000000007pt;width:56.649999999999999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2025-39471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9606280</wp:posOffset>
              </wp:positionV>
              <wp:extent cx="71945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2025-39471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050000000000004pt;margin-top:756.39999999999998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2025-39471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9606280</wp:posOffset>
              </wp:positionV>
              <wp:extent cx="719455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2025-39471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050000000000004pt;margin-top:756.39999999999998pt;width:56.64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2025-39471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783590</wp:posOffset>
              </wp:positionV>
              <wp:extent cx="73025" cy="850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80000000000001pt;margin-top:61.700000000000003pt;width:5.75pt;height:6.7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817245</wp:posOffset>
              </wp:positionV>
              <wp:extent cx="52070" cy="7302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pt;margin-top:64.349999999999994pt;width:4.0999999999999996pt;height:5.7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783590</wp:posOffset>
              </wp:positionV>
              <wp:extent cx="73025" cy="8509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8.80000000000001pt;margin-top:61.700000000000003pt;width:5.75pt;height:6.7000000000000002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 (2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3">
    <w:name w:val="Body text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  <w:spacing w:after="50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100"/>
      <w:ind w:left="44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header" Target="header3.xml"/><Relationship Id="rId15" Type="http://schemas.openxmlformats.org/officeDocument/2006/relationships/footer" Target="footer4.xml"/><Relationship Id="rId16" Type="http://schemas.openxmlformats.org/officeDocument/2006/relationships/image" Target="media/image3.jpeg"/><Relationship Id="rId17" Type="http://schemas.openxmlformats.org/officeDocument/2006/relationships/image" Target="media/image3.jpeg" TargetMode="External"/><Relationship Id="rId18" Type="http://schemas.openxmlformats.org/officeDocument/2006/relationships/image" Target="media/image4.jpeg"/><Relationship Id="rId19" Type="http://schemas.openxmlformats.org/officeDocument/2006/relationships/image" Target="media/image4.jpeg" TargetMode="External"/></Relationships>
</file>