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70175" distL="1169035" distR="1150620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496570" distL="114300" distR="153670" simplePos="0" relativeHeight="125829379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628650</wp:posOffset>
                </wp:positionV>
                <wp:extent cx="2581910" cy="21704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70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color w:val="3D60B0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color w:val="3D60B0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color w:val="3D60B0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color w:val="3D60B0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6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color w:val="3D60B0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color w:val="3D60B0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00000000000003pt;margin-top:49.5pt;width:203.30000000000001pt;height:170.90000000000001pt;z-index:-125829374;mso-wrap-distance-left:9.pt;mso-wrap-distance-top:48.5pt;mso-wrap-distance-right:12.1pt;mso-wrap-distance-bottom:39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color w:val="3D60B0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color w:val="3D60B0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color w:val="3D60B0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color w:val="3D60B0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300"/>
                        <w:jc w:val="left"/>
                      </w:pP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6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color w:val="3D60B0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color w:val="3D60B0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66415" distB="0" distL="2515870" distR="114300" simplePos="0" relativeHeight="125829381" behindDoc="0" locked="0" layoutInCell="1" allowOverlap="1">
            <wp:simplePos x="0" y="0"/>
            <wp:positionH relativeFrom="page">
              <wp:posOffset>3121660</wp:posOffset>
            </wp:positionH>
            <wp:positionV relativeFrom="paragraph">
              <wp:posOffset>3079115</wp:posOffset>
            </wp:positionV>
            <wp:extent cx="219710" cy="21971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9700" distB="0" distL="114300" distR="114300" simplePos="0" relativeHeight="125829382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9265920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  <w:b/>
          <w:bCs/>
        </w:rPr>
        <w:t>Оператор электронной площадки: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</w:rPr>
        <w:t>ООО "РТС-тендер"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</w:rPr>
        <w:t>121151, г. Москва, набережная Тараса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</w:rPr>
        <w:t>Шевченко, д.23А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</w:rPr>
        <w:t>тел.: (495)7339519, (800) 7755800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80" w:right="0" w:firstLine="0"/>
        <w:jc w:val="left"/>
      </w:pP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8"/>
          <w:lang w:val="en-US" w:eastAsia="en-US"/>
        </w:rPr>
        <w:t>ko@rts-tender.ru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  <w:b/>
          <w:bCs/>
        </w:rPr>
        <w:t>Заявитель: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</w:rPr>
        <w:t>ООО ЧОО «Безопасный квартал»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</w:rPr>
        <w:t>628401, Ханты-Мансийский автономный округ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</w:rPr>
        <w:t>— Югра, г. Сургут, ул. Нагорная, д. 3, кв. 21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980" w:right="0" w:firstLine="0"/>
        <w:jc w:val="left"/>
      </w:pPr>
      <w:r>
        <w:rPr>
          <w:rStyle w:val="CharStyle8"/>
          <w:lang w:val="en-US" w:eastAsia="en-US"/>
        </w:rPr>
        <w:t xml:space="preserve">email: </w:t>
      </w:r>
      <w:r>
        <w:fldChar w:fldCharType="begin"/>
      </w:r>
      <w:r>
        <w:rPr/>
        <w:instrText> HYPERLINK "mailto:ohranabk@bk.ru" </w:instrText>
      </w:r>
      <w:r>
        <w:fldChar w:fldCharType="separate"/>
      </w:r>
      <w:r>
        <w:rPr>
          <w:rStyle w:val="CharStyle8"/>
          <w:lang w:val="en-US" w:eastAsia="en-US"/>
        </w:rPr>
        <w:t>ohranabk@bk.ru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  <w:b/>
          <w:bCs/>
        </w:rPr>
        <w:t>Заказчик: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80" w:right="0" w:firstLine="0"/>
        <w:jc w:val="left"/>
      </w:pPr>
      <w:r>
        <w:rPr>
          <w:rStyle w:val="CharStyle8"/>
        </w:rPr>
        <w:t>Казенное учреждение Ханты-Мансийского автономного округа — Югры «Управление капитального строительства»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5320" w:right="0" w:firstLine="0"/>
        <w:jc w:val="left"/>
      </w:pPr>
      <w:r>
        <w:rPr>
          <w:rStyle w:val="CharStyle8"/>
        </w:rPr>
        <w:t>628011, Ханты-Мансийский автономны округ — Югра, г. Ханты-Мансийск, ул. Мира, д.18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РЕШЕНИЕ № 086/06/31-1687/2025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03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Резолютивная часть объявлена 27.08.2025</w:t>
        <w:tab/>
        <w:t>г. Ханты-Мансийск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8"/>
        </w:rPr>
        <w:t>Изготовлено в полном объеме 01.09.2025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8"/>
        </w:rPr>
        <w:t>Комиссия Управления Федеральной антимонопольной службы по Ханты-Мансийскому автономному округу – Югре (далее - Управление)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Председатель комиссии: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40"/>
        <w:jc w:val="left"/>
      </w:pPr>
      <w:r>
        <w:rPr>
          <w:rStyle w:val="CharStyle8"/>
        </w:rPr>
        <w:t>Валиуллин Р.Р. – Врио руководителя Управления;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8"/>
        </w:rPr>
        <w:t>Членов комиссии: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Михайлова О.Н. – Старший специалист 1 разряда отдела контроля закупок,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rStyle w:val="CharStyle8"/>
        </w:rPr>
        <w:t>Шаврин А.В. – Эксперт отдела контроля закупок,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т Заявителя - отсутствовали, уведомлены надлежащим образом;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rStyle w:val="CharStyle8"/>
        </w:rPr>
        <w:t>т Заказчика - посредством видеоконференц-связи Пермякова К.В. по доверенности № 44 от 26.05.2025 г.,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8"/>
        </w:rPr>
        <w:t>рассмотрев жалобу ООО ЧОО «Безопасный квартал» (ИНН: 8602295290, ОГРН: 1198617014408</w:t>
      </w:r>
      <w:r>
        <w:rPr>
          <w:rStyle w:val="CharStyle8"/>
          <w:rFonts w:ascii="Arial" w:eastAsia="Arial" w:hAnsi="Arial" w:cs="Arial"/>
          <w:color w:val="555555"/>
        </w:rPr>
        <w:t xml:space="preserve">) </w:t>
      </w:r>
      <w:r>
        <w:rPr>
          <w:rStyle w:val="CharStyle8"/>
        </w:rPr>
        <w:t xml:space="preserve">№ 9161/25 от 22.08.2025 г., на действия Заказчика - Казенного учреждения Ханты-Мансийского автономного округа — Югры «Управление капитального строительства», при проведении закупки в форме запроса котировок в электронной форме, объектом которой является — оказание услуг частной охраны объекта "Специальное (коррекционное) образовательное учреждение для обучающихся, воспитанников с отклонениями в развитии "Нефтеюганская специальная (коррекционная) общеобразовательная школа-интернат </w:t>
      </w:r>
      <w:r>
        <w:rPr>
          <w:rStyle w:val="CharStyle8"/>
          <w:lang w:val="en-US" w:eastAsia="en-US"/>
        </w:rPr>
        <w:t xml:space="preserve">VIII </w:t>
      </w:r>
      <w:r>
        <w:rPr>
          <w:rStyle w:val="CharStyle8"/>
        </w:rPr>
        <w:t>вида" (извещение № 0387200008525000115) и в результате осуществления внеплановой проверки в соответствии с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8"/>
        </w:rPr>
        <w:t xml:space="preserve">пунктом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15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№ </w:t>
      </w:r>
      <w:r>
        <w:rPr>
          <w:rStyle w:val="CharStyle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 Управление Федеральной антимонопольной службы по Ханты-Мансийскому автономному округу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Югре поступила жалоба от ООО ЧОО «Безопасный квартал» (ИНН: </w:t>
      </w:r>
      <w:r>
        <w:rPr>
          <w:rStyle w:val="CharStyle8"/>
          <w:lang w:val="en-US" w:eastAsia="en-US"/>
        </w:rPr>
        <w:t xml:space="preserve">8602295290, </w:t>
      </w:r>
      <w:r>
        <w:rPr>
          <w:rStyle w:val="CharStyle8"/>
        </w:rPr>
        <w:t xml:space="preserve">ОГРН: </w:t>
      </w:r>
      <w:r>
        <w:rPr>
          <w:rStyle w:val="CharStyle8"/>
          <w:lang w:val="en-US" w:eastAsia="en-US"/>
        </w:rPr>
        <w:t>1198617014408</w:t>
      </w:r>
      <w:r>
        <w:rPr>
          <w:rStyle w:val="CharStyle8"/>
          <w:rFonts w:ascii="Arial" w:eastAsia="Arial" w:hAnsi="Arial" w:cs="Arial"/>
          <w:color w:val="555555"/>
          <w:lang w:val="en-US" w:eastAsia="en-US"/>
        </w:rPr>
        <w:t xml:space="preserve">) </w:t>
      </w:r>
      <w:r>
        <w:rPr>
          <w:rStyle w:val="CharStyle8"/>
          <w:lang w:val="en-US" w:eastAsia="en-US"/>
        </w:rPr>
        <w:t xml:space="preserve">№ 9161/25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22.08.2025 </w:t>
      </w:r>
      <w:r>
        <w:rPr>
          <w:rStyle w:val="CharStyle8"/>
        </w:rPr>
        <w:t xml:space="preserve">г., на действия Заказчика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Казенного учреждения Ханты-Мансийского автономного округа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Югры «Управление капитального строительства», при проведении закупки в форме запроса котировок в электронной форме, объектом которой является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оказание услуг частной охраны объекта "Специальное (коррекционное) образовательное учреждение для обучающихся, воспитанников с отклонениями в развитии "Нефтеюганская специальная (коррекционная) общеобразовательная школа-интернат </w:t>
      </w:r>
      <w:r>
        <w:rPr>
          <w:rStyle w:val="CharStyle8"/>
          <w:lang w:val="en-US" w:eastAsia="en-US"/>
        </w:rPr>
        <w:t xml:space="preserve">VIII </w:t>
      </w:r>
      <w:r>
        <w:rPr>
          <w:rStyle w:val="CharStyle8"/>
        </w:rPr>
        <w:t xml:space="preserve">вида" (извещение </w:t>
      </w:r>
      <w:r>
        <w:rPr>
          <w:rStyle w:val="CharStyle8"/>
          <w:lang w:val="en-US" w:eastAsia="en-US"/>
        </w:rPr>
        <w:t>№ 0387200008525000115).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8"/>
        </w:rPr>
        <w:t xml:space="preserve">Заявитель считает, что в закупке должны быть требования в соответствии с позицией </w:t>
      </w:r>
      <w:r>
        <w:rPr>
          <w:rStyle w:val="CharStyle8"/>
          <w:lang w:val="en-US" w:eastAsia="en-US"/>
        </w:rPr>
        <w:t xml:space="preserve">34 </w:t>
      </w:r>
      <w:r>
        <w:rPr>
          <w:rStyle w:val="CharStyle8"/>
        </w:rPr>
        <w:t xml:space="preserve">раздела </w:t>
      </w:r>
      <w:r>
        <w:rPr>
          <w:rStyle w:val="CharStyle8"/>
          <w:lang w:val="en-US" w:eastAsia="en-US"/>
        </w:rPr>
        <w:t xml:space="preserve">VI </w:t>
      </w:r>
      <w:r>
        <w:rPr>
          <w:rStyle w:val="CharStyle8"/>
        </w:rPr>
        <w:t xml:space="preserve">приложения к ПП РФ от </w:t>
      </w:r>
      <w:r>
        <w:rPr>
          <w:rStyle w:val="CharStyle8"/>
          <w:lang w:val="en-US" w:eastAsia="en-US"/>
        </w:rPr>
        <w:t xml:space="preserve">29.12.2021 № 2571 </w:t>
      </w:r>
      <w:r>
        <w:rPr>
          <w:rStyle w:val="CharStyle8"/>
        </w:rPr>
        <w:t xml:space="preserve">(для требования к участникам закупок в соответствии с 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Федерального закона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44-ФЗ) </w:t>
      </w:r>
      <w:r>
        <w:rPr>
          <w:rStyle w:val="CharStyle8"/>
          <w:lang w:val="en-US" w:eastAsia="en-US"/>
        </w:rPr>
        <w:t xml:space="preserve">: </w:t>
      </w:r>
      <w:r>
        <w:rPr>
          <w:rStyle w:val="CharStyle8"/>
        </w:rPr>
        <w:t xml:space="preserve">Наличие опыта исполнения участником закупки договора, предусматривающего оказание услуг по обеспечению охраны объектов (территорий). Цена оказанных услуг должна составлять не менее </w:t>
      </w:r>
      <w:r>
        <w:rPr>
          <w:rStyle w:val="CharStyle8"/>
          <w:lang w:val="en-US" w:eastAsia="en-US"/>
        </w:rPr>
        <w:t xml:space="preserve">20 </w:t>
      </w:r>
      <w:r>
        <w:rPr>
          <w:rStyle w:val="CharStyle8"/>
        </w:rPr>
        <w:t>процентов от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  <w:b/>
          <w:bCs/>
        </w:rPr>
        <w:t>В ходе рассмотрения доводов сторон, материалов дела, Комиссией Управления установлено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N </w:t>
      </w:r>
      <w:r>
        <w:rPr>
          <w:rStyle w:val="CharStyle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Закон о контрактной системе),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финансовых ресурсов для исполнения контракта;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опыта работы, связанного с предметом контракта, и деловой репутации;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части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Закона о контрактной системе, в случае установления Правительством Российской Федерации в соответствии с 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пункту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82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rStyle w:val="CharStyle8"/>
        </w:rPr>
        <w:t xml:space="preserve">требования, предъявляемые к участникам закупки в соответствии с частью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настоящего Федерального закона, требования, предъявляемые к участникам закупки в соответствии с частями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и </w:t>
      </w:r>
      <w:r>
        <w:rPr>
          <w:rStyle w:val="CharStyle8"/>
          <w:lang w:val="en-US" w:eastAsia="en-US"/>
        </w:rPr>
        <w:t xml:space="preserve">2.1 </w:t>
      </w:r>
      <w:r>
        <w:rPr>
          <w:rStyle w:val="CharStyle8"/>
        </w:rPr>
        <w:t xml:space="preserve">(при наличии таких требований) статьи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8"/>
          <w:lang w:val="en-US" w:eastAsia="en-US"/>
        </w:rPr>
        <w:t xml:space="preserve">1.1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>настоящего Федерального закона (при наличии такого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требования).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40"/>
        <w:jc w:val="both"/>
      </w:pPr>
      <w:r>
        <w:rPr>
          <w:rStyle w:val="CharStyle8"/>
        </w:rPr>
        <w:t xml:space="preserve">Согласно позиции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раздела </w:t>
      </w:r>
      <w:r>
        <w:rPr>
          <w:rStyle w:val="CharStyle8"/>
          <w:lang w:val="en-US" w:eastAsia="en-US"/>
        </w:rPr>
        <w:t xml:space="preserve">I </w:t>
      </w:r>
      <w:r>
        <w:rPr>
          <w:rStyle w:val="CharStyle8"/>
        </w:rPr>
        <w:t xml:space="preserve">Постановления Правительства РФ от </w:t>
      </w:r>
      <w:r>
        <w:rPr>
          <w:rStyle w:val="CharStyle8"/>
          <w:lang w:val="en-US" w:eastAsia="en-US"/>
        </w:rPr>
        <w:t xml:space="preserve">29.12.2021 № 2571 </w:t>
      </w:r>
      <w:r>
        <w:rPr>
          <w:rStyle w:val="CharStyle8"/>
        </w:rPr>
        <w:t xml:space="preserve">(ред. от </w:t>
      </w:r>
      <w:r>
        <w:rPr>
          <w:rStyle w:val="CharStyle8"/>
          <w:lang w:val="en-US" w:eastAsia="en-US"/>
        </w:rPr>
        <w:t xml:space="preserve">23.09.2024) </w:t>
      </w:r>
      <w:r>
        <w:rPr>
          <w:rStyle w:val="CharStyle8"/>
        </w:rPr>
        <w:t>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288" w:val="left"/>
        </w:tabs>
        <w:bidi w:val="0"/>
        <w:spacing w:before="0" w:after="180" w:line="240" w:lineRule="auto"/>
        <w:ind w:left="5980" w:right="0" w:firstLine="0"/>
        <w:jc w:val="left"/>
      </w:pPr>
      <w:r>
        <w:rPr>
          <w:rStyle w:val="CharStyle3"/>
        </w:rPr>
        <w:t>исполненный договор;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6288" w:val="left"/>
        </w:tabs>
        <w:bidi w:val="0"/>
        <w:spacing w:before="0" w:after="180" w:line="240" w:lineRule="auto"/>
        <w:ind w:left="598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744220</wp:posOffset>
                </wp:positionH>
                <wp:positionV relativeFrom="paragraph">
                  <wp:posOffset>355600</wp:posOffset>
                </wp:positionV>
                <wp:extent cx="3740150" cy="26638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0150" cy="2663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308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наличие опыта исполнения участником закупки договора, предусматривающего выполнение работ по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085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Работы по сохранению объектов сохранению объектов культурного наследия</w:t>
                              <w:tab/>
                              <w:t>культурного наследия, при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(памятников истории и культуры) которых затрагиваются народов Российской Федерации конструктивные и другие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082" w:val="left"/>
                              </w:tabs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rStyle w:val="CharStyle3"/>
                                <w:vertAlign w:val="subscript"/>
                                <w:lang w:val="en-US" w:eastAsia="en-US"/>
                              </w:rPr>
                              <w:t>1.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 </w:t>
                            </w:r>
                            <w:r>
                              <w:rPr>
                                <w:rStyle w:val="CharStyle3"/>
                              </w:rPr>
                              <w:t xml:space="preserve">(далее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- </w:t>
                            </w:r>
                            <w:r>
                              <w:rPr>
                                <w:rStyle w:val="CharStyle3"/>
                              </w:rPr>
                              <w:t>объект культурного характеристики надежности и наследия), при которых</w:t>
                              <w:tab/>
                              <w:t>безопасности таких объектов.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0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затрагиваются конструктивные 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08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20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другие характеристики</w:t>
                              <w:tab/>
                              <w:t>Цена выполненных работ по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0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надежности и безопасности договору должна составлять не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0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20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таких объектов</w:t>
                              <w:tab/>
                              <w:t xml:space="preserve">менее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20 </w:t>
                            </w:r>
                            <w:r>
                              <w:rPr>
                                <w:rStyle w:val="CharStyle3"/>
                              </w:rPr>
                              <w:t>процентов начальной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308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(максимальной) цены контракта, заключаемого по результатам определения поставщика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308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(подрядчика, исполнителя)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600000000000001pt;margin-top:28.pt;width:294.5pt;height:209.75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308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наличие опыта исполнения участником закупки договора, предусматривающего выполнение работ по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085" w:val="left"/>
                        </w:tabs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Работы по сохранению объектов сохранению объектов культурного наследия</w:t>
                        <w:tab/>
                        <w:t>культурного наследия, при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0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(памятников истории и культуры) которых затрагиваются народов Российской Федерации конструктивные и другие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082" w:val="left"/>
                        </w:tabs>
                        <w:bidi w:val="0"/>
                        <w:spacing w:before="0" w:after="0" w:line="240" w:lineRule="auto"/>
                        <w:ind w:left="0" w:right="160" w:firstLine="0"/>
                        <w:jc w:val="right"/>
                      </w:pPr>
                      <w:r>
                        <w:rPr>
                          <w:rStyle w:val="CharStyle3"/>
                          <w:vertAlign w:val="subscript"/>
                          <w:lang w:val="en-US" w:eastAsia="en-US"/>
                        </w:rPr>
                        <w:t>1.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 </w:t>
                      </w:r>
                      <w:r>
                        <w:rPr>
                          <w:rStyle w:val="CharStyle3"/>
                        </w:rPr>
                        <w:t xml:space="preserve">(далее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- </w:t>
                      </w:r>
                      <w:r>
                        <w:rPr>
                          <w:rStyle w:val="CharStyle3"/>
                        </w:rPr>
                        <w:t>объект культурного характеристики надежности и наследия), при которых</w:t>
                        <w:tab/>
                        <w:t>безопасности таких объектов.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00"/>
                        <w:jc w:val="left"/>
                      </w:pPr>
                      <w:r>
                        <w:rPr>
                          <w:rStyle w:val="CharStyle3"/>
                        </w:rPr>
                        <w:t>затрагиваются конструктивные 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085" w:val="left"/>
                        </w:tabs>
                        <w:bidi w:val="0"/>
                        <w:spacing w:before="0" w:after="0" w:line="240" w:lineRule="auto"/>
                        <w:ind w:left="0" w:right="0" w:firstLine="200"/>
                        <w:jc w:val="left"/>
                      </w:pPr>
                      <w:r>
                        <w:rPr>
                          <w:rStyle w:val="CharStyle3"/>
                        </w:rPr>
                        <w:t>другие характеристики</w:t>
                        <w:tab/>
                        <w:t>Цена выполненных работ по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00"/>
                        <w:jc w:val="left"/>
                      </w:pPr>
                      <w:r>
                        <w:rPr>
                          <w:rStyle w:val="CharStyle3"/>
                        </w:rPr>
                        <w:t>надежности и безопасности договору должна составлять не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090" w:val="left"/>
                        </w:tabs>
                        <w:bidi w:val="0"/>
                        <w:spacing w:before="0" w:after="0" w:line="240" w:lineRule="auto"/>
                        <w:ind w:left="0" w:right="0" w:firstLine="200"/>
                        <w:jc w:val="left"/>
                      </w:pPr>
                      <w:r>
                        <w:rPr>
                          <w:rStyle w:val="CharStyle3"/>
                        </w:rPr>
                        <w:t>таких объектов</w:t>
                        <w:tab/>
                        <w:t xml:space="preserve">менее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20 </w:t>
                      </w:r>
                      <w:r>
                        <w:rPr>
                          <w:rStyle w:val="CharStyle3"/>
                        </w:rPr>
                        <w:t>процентов начальной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308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(максимальной) цены контракта, заключаемого по результатам определения поставщика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308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(подрядчика, исполнителя)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</w:rPr>
        <w:t>акт выполненных работ, подтверждающий цену выполненных работ;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08" w:val="left"/>
        </w:tabs>
        <w:bidi w:val="0"/>
        <w:spacing w:before="0" w:after="180" w:line="240" w:lineRule="auto"/>
        <w:ind w:left="0" w:right="0" w:firstLine="0"/>
        <w:jc w:val="left"/>
      </w:pPr>
      <w:r>
        <w:rPr>
          <w:rStyle w:val="CharStyle3"/>
        </w:rPr>
        <w:t xml:space="preserve">акт приемки выполненных работ по сохранению объекта культурного наследия (если договор, предусмотренный </w:t>
      </w:r>
      <w:r>
        <w:fldChar w:fldCharType="begin"/>
      </w:r>
      <w:r>
        <w:rPr/>
        <w:instrText> HYPERLINK "https://www.consultant.ru/document/cons_doc_LAW_486432/c80ddc297647235709ae2b53bcc0d4cec3490bd4/%23dst118" </w:instrText>
      </w:r>
      <w:r>
        <w:fldChar w:fldCharType="separate"/>
      </w:r>
      <w:r>
        <w:rPr>
          <w:rStyle w:val="CharStyle3"/>
          <w:color w:val="1A0DAB"/>
          <w:u w:val="single"/>
        </w:rPr>
        <w:t xml:space="preserve">пунктом </w:t>
      </w:r>
      <w:r>
        <w:rPr>
          <w:rStyle w:val="CharStyle3"/>
          <w:color w:val="1A0DAB"/>
          <w:u w:val="single"/>
          <w:lang w:val="en-US" w:eastAsia="en-US"/>
        </w:rPr>
        <w:t>1</w:t>
      </w:r>
      <w:r>
        <w:rPr>
          <w:rStyle w:val="CharStyle3"/>
          <w:color w:val="1A0DAB"/>
          <w:lang w:val="en-US" w:eastAsia="en-US"/>
        </w:rPr>
        <w:t xml:space="preserve"> </w:t>
      </w:r>
      <w:r>
        <w:fldChar w:fldCharType="end"/>
      </w:r>
      <w:r>
        <w:rPr>
          <w:rStyle w:val="CharStyle3"/>
        </w:rPr>
        <w:t>настоящей графы, предусматривает выполнение работ, в отношении результатов которых в соответствии с законодательством Российской Федерации осуществляются приемка работ по сохранению объекта культурного наследия и выдача такого акта);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 xml:space="preserve">разрешение на ввод объекта капитального строительства в эксплуатацию (за исключением случая, если работы, являющиеся объектом закупки, в соответствии с законодательством о градостроительной деятельности не требуют выдачи разрешения на ввод объекта капитального строительства в эксплуатацию и при этом договор, предусмотренный </w:t>
      </w:r>
      <w:r>
        <w:fldChar w:fldCharType="begin"/>
      </w:r>
      <w:r>
        <w:rPr/>
        <w:instrText> HYPERLINK "https://www.consultant.ru/document/cons_doc_LAW_486432/c80ddc297647235709ae2b53bcc0d4cec3490bd4/%23dst118" </w:instrText>
      </w:r>
      <w:r>
        <w:fldChar w:fldCharType="separate"/>
      </w:r>
      <w:r>
        <w:rPr>
          <w:rStyle w:val="CharStyle3"/>
          <w:color w:val="1A0DAB"/>
          <w:u w:val="single"/>
        </w:rPr>
        <w:t>пунктом</w:t>
      </w:r>
      <w:r>
        <w:fldChar w:fldCharType="end"/>
      </w:r>
      <w:r>
        <w:rPr>
          <w:rStyle w:val="CharStyle3"/>
          <w:color w:val="1A0DAB"/>
          <w:u w:val="single"/>
        </w:rPr>
        <w:t xml:space="preserve"> </w:t>
      </w:r>
      <w:r>
        <w:fldChar w:fldCharType="begin"/>
      </w:r>
      <w:r>
        <w:rPr/>
        <w:instrText> HYPERLINK "https://www.consultant.ru/document/cons_doc_LAW_486432/c80ddc297647235709ae2b53bcc0d4cec3490bd4/%23dst118" </w:instrText>
      </w:r>
      <w:r>
        <w:fldChar w:fldCharType="separate"/>
      </w:r>
      <w:r>
        <w:rPr>
          <w:rStyle w:val="CharStyle3"/>
          <w:color w:val="1A0DAB"/>
          <w:u w:val="single"/>
          <w:lang w:val="en-US" w:eastAsia="en-US"/>
        </w:rPr>
        <w:t>1</w:t>
      </w:r>
      <w:r>
        <w:rPr>
          <w:rStyle w:val="CharStyle3"/>
          <w:color w:val="1A0DAB"/>
          <w:lang w:val="en-US" w:eastAsia="en-US"/>
        </w:rPr>
        <w:t xml:space="preserve"> </w:t>
      </w:r>
      <w:r>
        <w:fldChar w:fldCharType="end"/>
      </w:r>
      <w:r>
        <w:rPr>
          <w:rStyle w:val="CharStyle3"/>
        </w:rPr>
        <w:t>настоящей графы, предусматривает выполнение работ, не требующих в соответствии с указанным законодательством выдачи такого разрешения)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50800" distL="0" distR="0" simplePos="0" relativeHeight="125829385" behindDoc="0" locked="0" layoutInCell="1" allowOverlap="1">
                <wp:simplePos x="0" y="0"/>
                <wp:positionH relativeFrom="page">
                  <wp:posOffset>1158875</wp:posOffset>
                </wp:positionH>
                <wp:positionV relativeFrom="paragraph">
                  <wp:posOffset>0</wp:posOffset>
                </wp:positionV>
                <wp:extent cx="5236210" cy="2165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362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 xml:space="preserve">Согласно извещению </w:t>
                            </w:r>
                            <w:r>
                              <w:rPr>
                                <w:rStyle w:val="CharStyle8"/>
                                <w:lang w:val="en-US" w:eastAsia="en-US"/>
                              </w:rPr>
                              <w:t xml:space="preserve">№ 0387200008525000115 </w:t>
                            </w:r>
                            <w:r>
                              <w:rPr>
                                <w:rStyle w:val="CharStyle8"/>
                              </w:rPr>
                              <w:t>Заказчику требуется следующее: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1.25pt;margin-top:0;width:412.30000000000001pt;height:17.050000000000001pt;z-index:-125829368;mso-wrap-distance-left:0;mso-wrap-distance-right:0;mso-wrap-distance-bottom:4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 xml:space="preserve">Согласно извещению </w:t>
                      </w:r>
                      <w:r>
                        <w:rPr>
                          <w:rStyle w:val="CharStyle8"/>
                          <w:lang w:val="en-US" w:eastAsia="en-US"/>
                        </w:rPr>
                        <w:t xml:space="preserve">№ 0387200008525000115 </w:t>
                      </w:r>
                      <w:r>
                        <w:rPr>
                          <w:rStyle w:val="CharStyle8"/>
                        </w:rPr>
                        <w:t>Заказчику требуется следующее: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1877"/>
        <w:gridCol w:w="1666"/>
        <w:gridCol w:w="1661"/>
        <w:gridCol w:w="1762"/>
        <w:gridCol w:w="1046"/>
        <w:gridCol w:w="1046"/>
        <w:gridCol w:w="1157"/>
      </w:tblGrid>
      <w:tr>
        <w:trPr>
          <w:trHeight w:val="12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Тип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Цена за единицу измерен 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Количес тво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Стоимост ь позиции</w:t>
            </w:r>
          </w:p>
        </w:tc>
      </w:tr>
      <w:tr>
        <w:trPr>
          <w:trHeight w:val="15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 xml:space="preserve">Услуги частной охраны (Выставление поста охраны) Идентификатор: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>25618181972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  <w:lang w:val="en-US" w:eastAsia="en-US"/>
              </w:rPr>
              <w:t>80.10.12.000</w:t>
              <w:softHyphen/>
              <w:t>00000002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Услуга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Человеко-час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  <w:lang w:val="en-US" w:eastAsia="en-US"/>
              </w:rPr>
              <w:t>785768.1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  <w:lang w:val="en-US" w:eastAsia="en-US"/>
              </w:rPr>
              <w:t>785768.16</w:t>
            </w: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046"/>
        <w:gridCol w:w="3619"/>
        <w:gridCol w:w="2549"/>
      </w:tblGrid>
      <w:tr>
        <w:trPr>
          <w:trHeight w:val="36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Характеристики товара, работы, услуги (Услуги частной охраны (Выставление поста охраны))</w:t>
            </w:r>
          </w:p>
        </w:tc>
      </w:tr>
      <w:tr>
        <w:trPr>
          <w:trHeight w:val="81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b/>
                <w:bCs/>
                <w:sz w:val="20"/>
                <w:szCs w:val="20"/>
              </w:rPr>
              <w:t>Инструкция по заполнению характеристики</w:t>
            </w:r>
          </w:p>
        </w:tc>
      </w:tr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Использование специальных средств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5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Вид услуги по охране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 xml:space="preserve">Охрана объектов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, </w:t>
            </w:r>
            <w:r>
              <w:rPr>
                <w:rStyle w:val="CharStyle17"/>
                <w:sz w:val="20"/>
                <w:szCs w:val="20"/>
              </w:rPr>
              <w:t>находящихся в собственности, во владении, в пользовании, хозяйственном ведении, оперативном управлении или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4046"/>
        <w:gridCol w:w="3619"/>
        <w:gridCol w:w="2549"/>
      </w:tblGrid>
      <w:tr>
        <w:trPr>
          <w:trHeight w:val="12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доверительном управлении, за исключением объектов,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Использование мобильной группы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Наличие оружия у сотрудников мобильной группы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Наличие оружия у сотрудников охраны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Нет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1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Вид услуги по охране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Обеспечение внутриобъектового режима на объектах, за исключением объектов,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3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Охрана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имущества, в отношении которых установлены обязательные для выполнения требования к антитеррористической защищенности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widowControl w:val="0"/>
        <w:spacing w:after="23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</w:pPr>
      <w:r>
        <w:rPr>
          <w:rStyle w:val="CharStyle8"/>
        </w:rPr>
        <w:t>Так, извещением установлены следующие Преимущества и требования к участникам: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3"/>
          <w:b/>
          <w:bCs/>
        </w:rPr>
        <w:t>Преимущества и требования к участникам</w:t>
      </w:r>
    </w:p>
    <w:tbl>
      <w:tblPr>
        <w:tblOverlap w:val="never"/>
        <w:jc w:val="center"/>
        <w:tblLayout w:type="fixed"/>
      </w:tblPr>
      <w:tblGrid>
        <w:gridCol w:w="4013"/>
        <w:gridCol w:w="6115"/>
      </w:tblGrid>
      <w:tr>
        <w:trPr>
          <w:trHeight w:val="494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Преимущества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 xml:space="preserve">Преимущество в соответствии с ч.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3 </w:t>
            </w:r>
            <w:r>
              <w:rPr>
                <w:rStyle w:val="CharStyle17"/>
                <w:sz w:val="20"/>
                <w:szCs w:val="20"/>
              </w:rPr>
              <w:t xml:space="preserve">ст.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30 </w:t>
            </w:r>
            <w:r>
              <w:rPr>
                <w:rStyle w:val="CharStyle17"/>
                <w:sz w:val="20"/>
                <w:szCs w:val="20"/>
              </w:rPr>
              <w:t xml:space="preserve">Закона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7"/>
                <w:sz w:val="20"/>
                <w:szCs w:val="20"/>
              </w:rPr>
              <w:t>44-ФЗ</w:t>
            </w:r>
          </w:p>
        </w:tc>
      </w:tr>
      <w:tr>
        <w:trPr>
          <w:trHeight w:val="640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Требования к участникам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 xml:space="preserve">.Единые требования к участникам закупок (в соответствии с частью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7"/>
                <w:sz w:val="20"/>
                <w:szCs w:val="20"/>
              </w:rPr>
              <w:t xml:space="preserve">статьи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31 </w:t>
            </w:r>
            <w:r>
              <w:rPr>
                <w:rStyle w:val="CharStyle17"/>
                <w:sz w:val="20"/>
                <w:szCs w:val="20"/>
              </w:rPr>
              <w:t xml:space="preserve">Федерального закона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7"/>
                <w:sz w:val="20"/>
                <w:szCs w:val="20"/>
              </w:rPr>
              <w:t>44-ФЗ)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 xml:space="preserve">.Требование к участникам закупок в соответствии с п.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7"/>
                <w:sz w:val="20"/>
                <w:szCs w:val="20"/>
              </w:rPr>
              <w:t xml:space="preserve">ч.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7"/>
                <w:sz w:val="20"/>
                <w:szCs w:val="20"/>
              </w:rPr>
              <w:t xml:space="preserve">статьи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31 </w:t>
            </w:r>
            <w:r>
              <w:rPr>
                <w:rStyle w:val="CharStyle17"/>
                <w:sz w:val="20"/>
                <w:szCs w:val="20"/>
              </w:rPr>
              <w:t xml:space="preserve">Федерального закона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7"/>
                <w:sz w:val="20"/>
                <w:szCs w:val="20"/>
              </w:rPr>
              <w:t>44-ФЗ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>Установлено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 xml:space="preserve">.Требования к участникам закупок (в соответствии с частью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1.1 </w:t>
            </w:r>
            <w:r>
              <w:rPr>
                <w:rStyle w:val="CharStyle17"/>
                <w:sz w:val="20"/>
                <w:szCs w:val="20"/>
              </w:rPr>
              <w:t xml:space="preserve">статьи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31 </w:t>
            </w:r>
            <w:r>
              <w:rPr>
                <w:rStyle w:val="CharStyle17"/>
                <w:sz w:val="20"/>
                <w:szCs w:val="20"/>
              </w:rPr>
              <w:t xml:space="preserve">Федерального закона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7"/>
                <w:sz w:val="20"/>
                <w:szCs w:val="20"/>
              </w:rPr>
              <w:t>44-ФЗ)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01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 xml:space="preserve">.Требования к участникам закупок в соответствии с частью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2 </w:t>
            </w:r>
            <w:r>
              <w:rPr>
                <w:rStyle w:val="CharStyle17"/>
                <w:sz w:val="20"/>
                <w:szCs w:val="20"/>
              </w:rPr>
              <w:t xml:space="preserve">статьи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31 </w:t>
            </w:r>
            <w:r>
              <w:rPr>
                <w:rStyle w:val="CharStyle17"/>
                <w:sz w:val="20"/>
                <w:szCs w:val="20"/>
              </w:rPr>
              <w:t xml:space="preserve">Федерального закона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7"/>
                <w:sz w:val="20"/>
                <w:szCs w:val="20"/>
              </w:rPr>
              <w:t>44-ФЗ</w:t>
            </w:r>
          </w:p>
          <w:p>
            <w:pPr>
              <w:pStyle w:val="Style16"/>
              <w:keepNext w:val="0"/>
              <w:keepLines w:val="0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pos="15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17"/>
                <w:sz w:val="20"/>
                <w:szCs w:val="20"/>
              </w:rPr>
              <w:t xml:space="preserve">Требования в соответствии с позицией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7"/>
                <w:sz w:val="20"/>
                <w:szCs w:val="20"/>
              </w:rPr>
              <w:t xml:space="preserve">раздела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I </w:t>
            </w:r>
            <w:r>
              <w:rPr>
                <w:rStyle w:val="CharStyle17"/>
                <w:sz w:val="20"/>
                <w:szCs w:val="20"/>
              </w:rPr>
              <w:t xml:space="preserve">приложения к ПП РФ от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29.12.2021 № 2571 </w:t>
            </w:r>
            <w:r>
              <w:rPr>
                <w:rStyle w:val="CharStyle17"/>
                <w:sz w:val="20"/>
                <w:szCs w:val="20"/>
              </w:rPr>
              <w:t xml:space="preserve">(для требования к участникам закупок в соответствии с частью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2 </w:t>
            </w:r>
            <w:r>
              <w:rPr>
                <w:rStyle w:val="CharStyle17"/>
                <w:sz w:val="20"/>
                <w:szCs w:val="20"/>
              </w:rPr>
              <w:t xml:space="preserve">статьи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31 </w:t>
            </w:r>
            <w:r>
              <w:rPr>
                <w:rStyle w:val="CharStyle17"/>
                <w:sz w:val="20"/>
                <w:szCs w:val="20"/>
              </w:rPr>
              <w:t xml:space="preserve">Федерального закона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№ </w:t>
            </w:r>
            <w:r>
              <w:rPr>
                <w:rStyle w:val="CharStyle17"/>
                <w:sz w:val="20"/>
                <w:szCs w:val="20"/>
              </w:rPr>
              <w:t xml:space="preserve">44-ФЗ) Наличие опыта исполнения участником закупки договора, предусматривающего выполнение работ по сохранению объектов культурного наследия, при которых затрагиваются конструктивные и другие характеристики надежности и безопасности таких объектов. Цена выполненных работ по договору должна составлять не менее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20 </w:t>
            </w:r>
            <w:r>
              <w:rPr>
                <w:rStyle w:val="CharStyle17"/>
                <w:sz w:val="20"/>
                <w:szCs w:val="20"/>
              </w:rPr>
              <w:t xml:space="preserve">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1) </w:t>
            </w:r>
            <w:r>
              <w:rPr>
                <w:rStyle w:val="CharStyle17"/>
                <w:sz w:val="20"/>
                <w:szCs w:val="20"/>
              </w:rPr>
              <w:t xml:space="preserve">исполненный договор;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2) </w:t>
            </w:r>
            <w:r>
              <w:rPr>
                <w:rStyle w:val="CharStyle17"/>
                <w:sz w:val="20"/>
                <w:szCs w:val="20"/>
              </w:rPr>
              <w:t xml:space="preserve">акт выполненных работ, подтверждающий цену выполненных работ;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3) </w:t>
            </w:r>
            <w:r>
              <w:rPr>
                <w:rStyle w:val="CharStyle17"/>
                <w:sz w:val="20"/>
                <w:szCs w:val="20"/>
              </w:rPr>
              <w:t xml:space="preserve">акт приемки выполненных работ по сохранению объекта культурного наследия (если договор, предусмотренный пунктом </w:t>
            </w:r>
            <w:r>
              <w:rPr>
                <w:rStyle w:val="CharStyle17"/>
                <w:sz w:val="20"/>
                <w:szCs w:val="20"/>
                <w:lang w:val="en-US" w:eastAsia="en-US"/>
              </w:rPr>
              <w:t xml:space="preserve">1 </w:t>
            </w:r>
            <w:r>
              <w:rPr>
                <w:rStyle w:val="CharStyle17"/>
                <w:sz w:val="20"/>
                <w:szCs w:val="20"/>
              </w:rPr>
              <w:t>настоящей графы, предусматривает выполнение работ, в отношении результатов которых в соответствии с законодательством Российской Федерации осуществляются приемка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160" w:right="0" w:firstLine="0"/>
        <w:jc w:val="left"/>
      </w:pPr>
      <w:r>
        <w:rPr>
          <w:rStyle w:val="CharStyle3"/>
        </w:rPr>
        <w:t xml:space="preserve">работ по сохранению объекта культурного наследия и выдача такого акта); </w:t>
      </w:r>
      <w:r>
        <w:rPr>
          <w:rStyle w:val="CharStyle3"/>
          <w:lang w:val="en-US" w:eastAsia="en-US"/>
        </w:rPr>
        <w:t xml:space="preserve">4) </w:t>
      </w:r>
      <w:r>
        <w:rPr>
          <w:rStyle w:val="CharStyle3"/>
        </w:rPr>
        <w:t xml:space="preserve">разрешение на ввод объекта капитального строительства в эксплуатацию (за исключением случая, если работы, являющиеся объектом закупки, в соответствии с законодательством о градостроительной деятельности не требуют выдачи разрешения на ввод объекта капитального строительства в эксплуатацию и при этом договор, предусмотренный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настоящей графы, предусматривает выполнение работ, не требующих в соответствии с указанным законодательством выдачи такого разрешения).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Относительно довода жалобы Комиссия Управления поясняет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пункту </w:t>
      </w:r>
      <w:r>
        <w:rPr>
          <w:rStyle w:val="CharStyle8"/>
          <w:lang w:val="en-US" w:eastAsia="en-US"/>
        </w:rPr>
        <w:t xml:space="preserve">1.6 </w:t>
      </w:r>
      <w:r>
        <w:rPr>
          <w:rStyle w:val="CharStyle8"/>
        </w:rPr>
        <w:t xml:space="preserve">Проекта государственного контракта место оказания услуг: Российская Федерация, Ханты-Мансийский автономный округ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Югра, г.о. Нефтеюганск, г Нефтеюганск, мкр. </w:t>
      </w:r>
      <w:r>
        <w:rPr>
          <w:rStyle w:val="CharStyle8"/>
          <w:lang w:val="en-US" w:eastAsia="en-US"/>
        </w:rPr>
        <w:t xml:space="preserve">17, </w:t>
      </w:r>
      <w:r>
        <w:rPr>
          <w:rStyle w:val="CharStyle8"/>
        </w:rPr>
        <w:t xml:space="preserve">земельный участок </w:t>
      </w:r>
      <w:r>
        <w:rPr>
          <w:rStyle w:val="CharStyle8"/>
          <w:lang w:val="en-US" w:eastAsia="en-US"/>
        </w:rPr>
        <w:t xml:space="preserve">№ 37 </w:t>
      </w:r>
      <w:r>
        <w:rPr>
          <w:rStyle w:val="CharStyle8"/>
        </w:rPr>
        <w:t>вр.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Согласно сведениям из Единого государственного реестра объектов культурного наследия (памятников истории и культуры) народов Российской Федерации Специальное (коррекционное) образовательное учреждение для обучающихся, воспитанников с отклонениями в развитии "Нефтеюганская специальная (коррекционная) общеобразовательная школа-интернат </w:t>
      </w:r>
      <w:r>
        <w:rPr>
          <w:rStyle w:val="CharStyle8"/>
          <w:lang w:val="en-US" w:eastAsia="en-US"/>
        </w:rPr>
        <w:t xml:space="preserve">VIII </w:t>
      </w:r>
      <w:r>
        <w:rPr>
          <w:rStyle w:val="CharStyle8"/>
        </w:rPr>
        <w:t>вида не относится к объектам культурного наследия.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Исходя из Характеристики товара, работы, услуги и Описания объекта закупки должно быть установлено требование в соответствии с позицией </w:t>
      </w:r>
      <w:r>
        <w:rPr>
          <w:rStyle w:val="CharStyle8"/>
          <w:lang w:val="en-US" w:eastAsia="en-US"/>
        </w:rPr>
        <w:t xml:space="preserve">34 </w:t>
      </w:r>
      <w:r>
        <w:rPr>
          <w:rStyle w:val="CharStyle8"/>
        </w:rPr>
        <w:t xml:space="preserve">раздела </w:t>
      </w:r>
      <w:r>
        <w:rPr>
          <w:rStyle w:val="CharStyle8"/>
          <w:lang w:val="en-US" w:eastAsia="en-US"/>
        </w:rPr>
        <w:t xml:space="preserve">VI </w:t>
      </w:r>
      <w:r>
        <w:rPr>
          <w:rStyle w:val="CharStyle8"/>
        </w:rPr>
        <w:t xml:space="preserve">Постановления Правительства РФ от </w:t>
      </w:r>
      <w:r>
        <w:rPr>
          <w:rStyle w:val="CharStyle8"/>
          <w:lang w:val="en-US" w:eastAsia="en-US"/>
        </w:rPr>
        <w:t xml:space="preserve">29.12.2021 № 2571 </w:t>
      </w:r>
      <w:r>
        <w:rPr>
          <w:rStyle w:val="CharStyle8"/>
        </w:rPr>
        <w:t>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Таким образом, применение позиции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раздела </w:t>
      </w:r>
      <w:r>
        <w:rPr>
          <w:rStyle w:val="CharStyle8"/>
          <w:lang w:val="en-US" w:eastAsia="en-US"/>
        </w:rPr>
        <w:t xml:space="preserve">I </w:t>
      </w:r>
      <w:r>
        <w:rPr>
          <w:rStyle w:val="CharStyle8"/>
        </w:rPr>
        <w:t xml:space="preserve">Постановления Правительства РФ от </w:t>
      </w:r>
      <w:r>
        <w:rPr>
          <w:rStyle w:val="CharStyle8"/>
          <w:lang w:val="en-US" w:eastAsia="en-US"/>
        </w:rPr>
        <w:t xml:space="preserve">29.12.2021 № 2571 </w:t>
      </w:r>
      <w:r>
        <w:rPr>
          <w:rStyle w:val="CharStyle8"/>
        </w:rPr>
        <w:t>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неправомерно, довод является обоснованным.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8"/>
        </w:rPr>
        <w:t>На основании вышеизложенного, Комиссия Управления решила выдать обязательное для исполнения предписание.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Жалоба ООО ЧОО «Безопасный квартал» (ИНН: </w:t>
      </w:r>
      <w:r>
        <w:rPr>
          <w:rStyle w:val="CharStyle8"/>
          <w:lang w:val="en-US" w:eastAsia="en-US"/>
        </w:rPr>
        <w:t xml:space="preserve">8602295290, </w:t>
      </w:r>
      <w:r>
        <w:rPr>
          <w:rStyle w:val="CharStyle8"/>
        </w:rPr>
        <w:t xml:space="preserve">ОГРН: </w:t>
      </w:r>
      <w:r>
        <w:rPr>
          <w:rStyle w:val="CharStyle8"/>
          <w:lang w:val="en-US" w:eastAsia="en-US"/>
        </w:rPr>
        <w:t>1198617014408</w:t>
      </w:r>
      <w:r>
        <w:rPr>
          <w:rStyle w:val="CharStyle8"/>
          <w:rFonts w:ascii="Arial" w:eastAsia="Arial" w:hAnsi="Arial" w:cs="Arial"/>
          <w:color w:val="555555"/>
          <w:lang w:val="en-US" w:eastAsia="en-US"/>
        </w:rPr>
        <w:t xml:space="preserve">) </w:t>
      </w:r>
      <w:r>
        <w:rPr>
          <w:rStyle w:val="CharStyle8"/>
          <w:lang w:val="en-US" w:eastAsia="en-US"/>
        </w:rPr>
        <w:t xml:space="preserve">№ 9161/25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22.08.2025 </w:t>
      </w:r>
      <w:r>
        <w:rPr>
          <w:rStyle w:val="CharStyle8"/>
        </w:rPr>
        <w:t>г. рассмотрена Комиссией Управления в соответствии с требованиями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8"/>
        </w:rPr>
        <w:t xml:space="preserve">Рассмотрев материалы дела, изучив представленные документы представителей сторон, руководствуясь положениями статей </w:t>
      </w:r>
      <w:r>
        <w:rPr>
          <w:rStyle w:val="CharStyle8"/>
          <w:lang w:val="en-US" w:eastAsia="en-US"/>
        </w:rPr>
        <w:t xml:space="preserve">99, 106 </w:t>
      </w:r>
      <w:r>
        <w:rPr>
          <w:rStyle w:val="CharStyle8"/>
        </w:rPr>
        <w:t>Закона о контрактной системе, Комиссия Управления,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22"/>
          <w:b/>
          <w:bCs/>
        </w:rPr>
        <w:t>РЕШИЛА:</w:t>
      </w:r>
      <w:bookmarkEnd w:id="0"/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Признать жалобу ООО ЧОО «Безопасный квартал» (ИНН: </w:t>
      </w:r>
      <w:r>
        <w:rPr>
          <w:rStyle w:val="CharStyle8"/>
          <w:lang w:val="en-US" w:eastAsia="en-US"/>
        </w:rPr>
        <w:t xml:space="preserve">8602295290, </w:t>
      </w:r>
      <w:r>
        <w:rPr>
          <w:rStyle w:val="CharStyle8"/>
        </w:rPr>
        <w:t xml:space="preserve">ОГРН: </w:t>
      </w:r>
      <w:r>
        <w:rPr>
          <w:rStyle w:val="CharStyle8"/>
          <w:lang w:val="en-US" w:eastAsia="en-US"/>
        </w:rPr>
        <w:t>1198617014408</w:t>
      </w:r>
      <w:r>
        <w:rPr>
          <w:rStyle w:val="CharStyle8"/>
          <w:rFonts w:ascii="Arial" w:eastAsia="Arial" w:hAnsi="Arial" w:cs="Arial"/>
          <w:color w:val="555555"/>
          <w:lang w:val="en-US" w:eastAsia="en-US"/>
        </w:rPr>
        <w:t xml:space="preserve">) </w:t>
      </w:r>
      <w:r>
        <w:rPr>
          <w:rStyle w:val="CharStyle8"/>
          <w:lang w:val="en-US" w:eastAsia="en-US"/>
        </w:rPr>
        <w:t xml:space="preserve">№ 9161/25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22.08.2025 </w:t>
      </w:r>
      <w:r>
        <w:rPr>
          <w:rStyle w:val="CharStyle8"/>
        </w:rPr>
        <w:t xml:space="preserve">г., на действия Заказчика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Казенного учреждения Ханты- Мансийского автономного округа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Югры «Управление капитального строительства», при проведении закупки в форме запроса котировок в электронной форме, объектом которой является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оказание услуг частной охраны объекта "Специальное (коррекционное) образовательное учреждение для обучающихся, воспитанников с отклонениями в развитии "Нефтеюганская специальная (коррекционная) общеобразовательная школа-интернат </w:t>
      </w:r>
      <w:r>
        <w:rPr>
          <w:rStyle w:val="CharStyle8"/>
          <w:lang w:val="en-US" w:eastAsia="en-US"/>
        </w:rPr>
        <w:t xml:space="preserve">VIII </w:t>
      </w:r>
      <w:r>
        <w:rPr>
          <w:rStyle w:val="CharStyle8"/>
        </w:rPr>
        <w:t xml:space="preserve">вида" (извещение </w:t>
      </w:r>
      <w:r>
        <w:rPr>
          <w:rStyle w:val="CharStyle8"/>
          <w:lang w:val="en-US" w:eastAsia="en-US"/>
        </w:rPr>
        <w:t xml:space="preserve">№ 0387200008525000115) </w:t>
      </w:r>
      <w:r>
        <w:rPr>
          <w:rStyle w:val="CharStyle8"/>
        </w:rPr>
        <w:t>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rStyle w:val="CharStyle8"/>
        </w:rPr>
        <w:t xml:space="preserve">Признать в действиях Заказчика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Казенного учреждения Ханты-Мансийского автономного округа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 xml:space="preserve">Югры «Управление капитального строительства» нарушение положений пункта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42,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4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N </w:t>
      </w:r>
      <w:r>
        <w:rPr>
          <w:rStyle w:val="CharStyle8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>
        <w:br w:type="page"/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83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Выдать обязательное для исполнения предписание.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Передать уполномоченному должностному лицу Ханты-Мансийского УФАС России материалы дела для рассмотрения вопроса о привлечении должностных лиц, допустивших нарушение требований Закона о контрактной системе, к административной ответственности.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9" w:val="left"/>
        </w:tabs>
        <w:bidi w:val="0"/>
        <w:spacing w:before="0" w:after="500" w:line="240" w:lineRule="auto"/>
        <w:ind w:left="0" w:right="0" w:firstLine="740"/>
        <w:jc w:val="both"/>
      </w:pPr>
      <w:r>
        <w:rPr>
          <w:rStyle w:val="CharStyle8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rStyle w:val="CharStyle8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8"/>
          <w:lang w:val="en-US" w:eastAsia="en-US"/>
        </w:rPr>
        <w:t>www.zakupki.gov.ru</w:t>
      </w:r>
      <w:r>
        <w:fldChar w:fldCharType="end"/>
      </w:r>
      <w:r>
        <w:rPr>
          <w:rStyle w:val="CharStyle8"/>
          <w:lang w:val="en-US" w:eastAsia="en-US"/>
        </w:rPr>
        <w:t>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523875" distL="114300" distR="224155" simplePos="0" relativeHeight="125829387" behindDoc="0" locked="0" layoutInCell="1" allowOverlap="1">
                <wp:simplePos x="0" y="0"/>
                <wp:positionH relativeFrom="page">
                  <wp:posOffset>5960745</wp:posOffset>
                </wp:positionH>
                <wp:positionV relativeFrom="paragraph">
                  <wp:posOffset>12700</wp:posOffset>
                </wp:positionV>
                <wp:extent cx="987425" cy="21971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9.35000000000002pt;margin-top:1.pt;width:77.75pt;height:17.300000000000001pt;z-index:-125829366;mso-wrap-distance-left:9.pt;mso-wrap-distance-right:17.650000000000002pt;mso-wrap-distance-bottom:41.2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0" distL="117475" distR="114300" simplePos="0" relativeHeight="125829389" behindDoc="0" locked="0" layoutInCell="1" allowOverlap="1">
                <wp:simplePos x="0" y="0"/>
                <wp:positionH relativeFrom="page">
                  <wp:posOffset>5963920</wp:posOffset>
                </wp:positionH>
                <wp:positionV relativeFrom="paragraph">
                  <wp:posOffset>539750</wp:posOffset>
                </wp:positionV>
                <wp:extent cx="1094105" cy="21653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О.Н. Михайлова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9.60000000000002pt;margin-top:42.5pt;width:86.150000000000006pt;height:17.050000000000001pt;z-index:-125829364;mso-wrap-distance-left:9.25pt;mso-wrap-distance-top:41.5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О.Н. Михайлова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580" w:firstLine="0"/>
        <w:jc w:val="right"/>
      </w:pPr>
      <w:r>
        <w:rPr>
          <w:rStyle w:val="CharStyle8"/>
        </w:rPr>
        <w:t>А.В. Шаврин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rStyle w:val="CharStyle24"/>
          <w:i/>
          <w:iCs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14" w:right="537" w:bottom="1207" w:left="110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9990455</wp:posOffset>
              </wp:positionV>
              <wp:extent cx="655320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2025-6828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700000000000003pt;margin-top:786.64999999999998pt;width:51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2025-6828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9990455</wp:posOffset>
              </wp:positionV>
              <wp:extent cx="655320" cy="12827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2025-6828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700000000000003pt;margin-top:786.64999999999998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2025-6828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6"/>
      <w:szCs w:val="16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Other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Heading #1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4">
    <w:name w:val="Body text (3)_"/>
    <w:basedOn w:val="DefaultParagraphFont"/>
    <w:link w:val="Style2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70" w:line="288" w:lineRule="auto"/>
      <w:ind w:firstLine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6"/>
      <w:szCs w:val="16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Other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3">
    <w:name w:val="Body text (3)"/>
    <w:basedOn w:val="Normal"/>
    <w:link w:val="CharStyle24"/>
    <w:pPr>
      <w:widowControl w:val="0"/>
      <w:shd w:val="clear" w:color="auto" w:fill="auto"/>
      <w:spacing w:after="500"/>
      <w:ind w:firstLine="7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