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1784350</wp:posOffset>
            </wp:positionH>
            <wp:positionV relativeFrom="paragraph">
              <wp:posOffset>12700</wp:posOffset>
            </wp:positionV>
            <wp:extent cx="511810" cy="597535"/>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w:drawing>
          <wp:anchor distT="735330" distB="0" distL="114300" distR="114300" simplePos="0" relativeHeight="125829379" behindDoc="0" locked="0" layoutInCell="1" allowOverlap="1">
            <wp:simplePos x="0" y="0"/>
            <wp:positionH relativeFrom="page">
              <wp:posOffset>727075</wp:posOffset>
            </wp:positionH>
            <wp:positionV relativeFrom="paragraph">
              <wp:posOffset>2261870</wp:posOffset>
            </wp:positionV>
            <wp:extent cx="2597150" cy="999490"/>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2597150" cy="999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845820</wp:posOffset>
                </wp:positionH>
                <wp:positionV relativeFrom="paragraph">
                  <wp:posOffset>1615440</wp:posOffset>
                </wp:positionV>
                <wp:extent cx="2392680" cy="548640"/>
                <wp:wrapNone/>
                <wp:docPr id="5" name="Shape 5"/>
                <a:graphic xmlns:a="http://schemas.openxmlformats.org/drawingml/2006/main">
                  <a:graphicData uri="http://schemas.microsoft.com/office/word/2010/wordprocessingShape">
                    <wps:wsp>
                      <wps:cNvSpPr txBox="1"/>
                      <wps:spPr>
                        <a:xfrm>
                          <a:ext cx="2392680" cy="5486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 xml:space="preserve">Мясницкий проезд, д.4, стр. 1 107078, г. Москва, тел. (495) 784-75-05, факс (495) 607-49-29 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66.599999999999994pt;margin-top:127.2pt;width:188.40000000000001pt;height:43.200000000000003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 xml:space="preserve">Мясницкий проезд, д.4, стр. 1 107078, г. Москва, тел. (495) 784-75-05, факс (495) 607-49-29 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txbxContent>
                </v:textbox>
                <w10:wrap anchorx="page"/>
              </v:shape>
            </w:pict>
          </mc:Fallback>
        </mc:AlternateConten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ФЕДЕРАЛЬНАЯ</w:t>
      </w:r>
    </w:p>
    <w:p>
      <w:pPr>
        <w:pStyle w:val="Style5"/>
        <w:keepNext w:val="0"/>
        <w:keepLines w:val="0"/>
        <w:widowControl w:val="0"/>
        <w:shd w:val="clear" w:color="auto" w:fill="auto"/>
        <w:bidi w:val="0"/>
        <w:spacing w:before="0" w:after="220" w:line="240" w:lineRule="auto"/>
        <w:ind w:left="0" w:right="0" w:firstLine="0"/>
        <w:jc w:val="center"/>
      </w:pPr>
      <w:r>
        <w:rPr>
          <w:rStyle w:val="CharStyle6"/>
          <w:b/>
          <w:bCs/>
        </w:rPr>
        <w:t>АНТИМОНОПОЛЬНАЯ СЛУЖБА</w:t>
      </w:r>
    </w:p>
    <w:p>
      <w:pPr>
        <w:pStyle w:val="Style5"/>
        <w:keepNext w:val="0"/>
        <w:keepLines w:val="0"/>
        <w:widowControl w:val="0"/>
        <w:shd w:val="clear" w:color="auto" w:fill="auto"/>
        <w:bidi w:val="0"/>
        <w:spacing w:before="0" w:after="22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по г. Москве</w:t>
      </w:r>
    </w:p>
    <w:p>
      <w:pPr>
        <w:pStyle w:val="Style10"/>
        <w:keepNext w:val="0"/>
        <w:keepLines w:val="0"/>
        <w:widowControl w:val="0"/>
        <w:shd w:val="clear" w:color="auto" w:fill="auto"/>
        <w:bidi w:val="0"/>
        <w:spacing w:before="0" w:after="280" w:line="240" w:lineRule="auto"/>
        <w:ind w:left="0" w:right="0" w:firstLine="0"/>
        <w:jc w:val="left"/>
      </w:pPr>
      <w:r>
        <w:rPr>
          <w:rStyle w:val="CharStyle11"/>
        </w:rPr>
        <w:t xml:space="preserve">ГБУЗ «ГП </w:t>
      </w:r>
      <w:r>
        <w:rPr>
          <w:rStyle w:val="CharStyle11"/>
          <w:lang w:val="en-US" w:eastAsia="en-US"/>
        </w:rPr>
        <w:t xml:space="preserve">№ 67 </w:t>
      </w:r>
      <w:r>
        <w:rPr>
          <w:rStyle w:val="CharStyle11"/>
        </w:rPr>
        <w:t xml:space="preserve">ДЗМ» </w:t>
      </w:r>
      <w:r>
        <w:fldChar w:fldCharType="begin"/>
      </w:r>
      <w:r>
        <w:rPr/>
        <w:instrText> HYPERLINK "mailto:gp67@zdrav.mos.ru" </w:instrText>
      </w:r>
      <w:r>
        <w:fldChar w:fldCharType="separate"/>
      </w:r>
      <w:r>
        <w:rPr>
          <w:rStyle w:val="CharStyle11"/>
          <w:lang w:val="en-US" w:eastAsia="en-US"/>
        </w:rPr>
        <w:t>gp67@zdrav.mos.ru</w:t>
      </w:r>
      <w:r>
        <w:fldChar w:fldCharType="end"/>
      </w:r>
    </w:p>
    <w:p>
      <w:pPr>
        <w:pStyle w:val="Style10"/>
        <w:keepNext w:val="0"/>
        <w:keepLines w:val="0"/>
        <w:widowControl w:val="0"/>
        <w:shd w:val="clear" w:color="auto" w:fill="auto"/>
        <w:bidi w:val="0"/>
        <w:spacing w:before="0" w:after="280" w:line="240" w:lineRule="auto"/>
        <w:ind w:left="0" w:right="0" w:firstLine="0"/>
        <w:jc w:val="left"/>
      </w:pPr>
      <w:r>
        <w:rPr>
          <w:rStyle w:val="CharStyle11"/>
        </w:rPr>
        <w:t xml:space="preserve">ООО «Печатное Мастерство» </w:t>
      </w:r>
      <w:r>
        <w:fldChar w:fldCharType="begin"/>
      </w:r>
      <w:r>
        <w:rPr/>
        <w:instrText> HYPERLINK "mailto:printmastender@ya.ru" </w:instrText>
      </w:r>
      <w:r>
        <w:fldChar w:fldCharType="separate"/>
      </w:r>
      <w:r>
        <w:rPr>
          <w:rStyle w:val="CharStyle11"/>
          <w:lang w:val="en-US" w:eastAsia="en-US"/>
        </w:rPr>
        <w:t>printmastender@ya.ru</w:t>
      </w:r>
      <w:r>
        <w:fldChar w:fldCharType="end"/>
      </w:r>
    </w:p>
    <w:p>
      <w:pPr>
        <w:pStyle w:val="Style10"/>
        <w:keepNext w:val="0"/>
        <w:keepLines w:val="0"/>
        <w:widowControl w:val="0"/>
        <w:shd w:val="clear" w:color="auto" w:fill="auto"/>
        <w:bidi w:val="0"/>
        <w:spacing w:before="0" w:after="0" w:line="240"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94" w:right="1905" w:bottom="708" w:left="1601" w:header="0" w:footer="3" w:gutter="0"/>
          <w:pgNumType w:start="1"/>
          <w:cols w:num="2" w:space="720" w:equalWidth="0">
            <w:col w:w="3221" w:space="1579"/>
            <w:col w:w="3595"/>
          </w:cols>
          <w:noEndnote/>
          <w:titlePg/>
          <w:rtlGutter w:val="0"/>
          <w:docGrid w:linePitch="360"/>
        </w:sectPr>
      </w:pPr>
      <w:r>
        <w:rPr>
          <w:rStyle w:val="CharStyle11"/>
        </w:rPr>
        <w:t xml:space="preserve">АО«ЕЭТП» </w:t>
      </w:r>
      <w:r>
        <w:fldChar w:fldCharType="begin"/>
      </w:r>
      <w:r>
        <w:rPr/>
        <w:instrText> HYPERLINK "mailto:ko@roseltorg.ru" </w:instrText>
      </w:r>
      <w:r>
        <w:fldChar w:fldCharType="separate"/>
      </w:r>
      <w:r>
        <w:rPr>
          <w:rStyle w:val="CharStyle11"/>
          <w:lang w:val="en-US" w:eastAsia="en-US"/>
        </w:rPr>
        <w:t>ko@roseltorg.ru</w:t>
      </w:r>
      <w:r>
        <w:fldChar w:fldCharType="end"/>
      </w:r>
    </w:p>
    <w:p>
      <w:pPr>
        <w:widowControl w:val="0"/>
        <w:spacing w:line="240" w:lineRule="exact"/>
        <w:rPr>
          <w:sz w:val="19"/>
          <w:szCs w:val="19"/>
        </w:rPr>
      </w:pPr>
    </w:p>
    <w:p>
      <w:pPr>
        <w:widowControl w:val="0"/>
        <w:spacing w:before="22" w:after="2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65" w:right="0" w:bottom="536" w:left="0" w:header="0" w:footer="3" w:gutter="0"/>
          <w:cols w:space="720"/>
          <w:noEndnote/>
          <w:rtlGutter w:val="0"/>
          <w:docGrid w:linePitch="360"/>
        </w:sectPr>
      </w:pPr>
    </w:p>
    <w:p>
      <w:pPr>
        <w:pStyle w:val="Style10"/>
        <w:keepNext w:val="0"/>
        <w:keepLines w:val="0"/>
        <w:widowControl w:val="0"/>
        <w:shd w:val="clear" w:color="auto" w:fill="auto"/>
        <w:bidi w:val="0"/>
        <w:spacing w:before="0" w:after="0" w:line="240" w:lineRule="auto"/>
        <w:ind w:left="0" w:right="0" w:firstLine="0"/>
        <w:jc w:val="center"/>
      </w:pPr>
      <w:r>
        <w:rPr>
          <w:rStyle w:val="CharStyle11"/>
          <w:b/>
          <w:bCs/>
        </w:rPr>
        <w:t>РЕШЕНИЕ</w:t>
      </w:r>
    </w:p>
    <w:p>
      <w:pPr>
        <w:pStyle w:val="Style10"/>
        <w:keepNext w:val="0"/>
        <w:keepLines w:val="0"/>
        <w:widowControl w:val="0"/>
        <w:shd w:val="clear" w:color="auto" w:fill="auto"/>
        <w:tabs>
          <w:tab w:pos="8957" w:val="left"/>
        </w:tabs>
        <w:bidi w:val="0"/>
        <w:spacing w:before="0" w:after="0" w:line="240" w:lineRule="auto"/>
        <w:ind w:left="0" w:right="0" w:firstLine="0"/>
        <w:jc w:val="center"/>
      </w:pPr>
      <w:r>
        <w:rPr>
          <w:rStyle w:val="CharStyle11"/>
          <w:b/>
          <w:bCs/>
        </w:rPr>
        <w:t xml:space="preserve">по делу </w:t>
      </w:r>
      <w:r>
        <w:rPr>
          <w:rStyle w:val="CharStyle11"/>
          <w:b/>
          <w:bCs/>
          <w:lang w:val="en-US" w:eastAsia="en-US"/>
        </w:rPr>
        <w:t xml:space="preserve">№ 077/06/106-10723/2025 </w:t>
      </w:r>
      <w:r>
        <w:rPr>
          <w:rStyle w:val="CharStyle11"/>
          <w:b/>
          <w:bCs/>
        </w:rPr>
        <w:t>о нарушении</w:t>
        <w:br/>
        <w:t>законодательства о контрактной системе</w:t>
        <w:br/>
      </w:r>
      <w:r>
        <w:rPr>
          <w:rStyle w:val="CharStyle11"/>
          <w:b/>
          <w:bCs/>
          <w:lang w:val="en-US" w:eastAsia="en-US"/>
        </w:rPr>
        <w:t>27.08.2025</w:t>
        <w:tab/>
      </w:r>
      <w:r>
        <w:rPr>
          <w:rStyle w:val="CharStyle11"/>
          <w:b/>
          <w:bCs/>
        </w:rPr>
        <w:t>г. Москва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Комиссия Управления Федеральной антимонопольной службы по г. Москве по контролю в сфере закупок товаров, работ, услуг(далее </w:t>
      </w:r>
      <w:r>
        <w:rPr>
          <w:rStyle w:val="CharStyle11"/>
          <w:lang w:val="en-US" w:eastAsia="en-US"/>
        </w:rPr>
        <w:t xml:space="preserve">– </w:t>
      </w:r>
      <w:r>
        <w:rPr>
          <w:rStyle w:val="CharStyle11"/>
        </w:rPr>
        <w:t>Комиссия Управления) в составе: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Председательствующего </w:t>
      </w:r>
      <w:r>
        <w:rPr>
          <w:rStyle w:val="CharStyle11"/>
          <w:lang w:val="en-US" w:eastAsia="en-US"/>
        </w:rPr>
        <w:t xml:space="preserve">– </w:t>
      </w:r>
      <w:r>
        <w:rPr>
          <w:rStyle w:val="CharStyle11"/>
        </w:rPr>
        <w:t>заместителя начальника отдела обжалования государственных закупок Д.С. Грешневой,</w:t>
      </w:r>
    </w:p>
    <w:p>
      <w:pPr>
        <w:pStyle w:val="Style10"/>
        <w:keepNext w:val="0"/>
        <w:keepLines w:val="0"/>
        <w:widowControl w:val="0"/>
        <w:shd w:val="clear" w:color="auto" w:fill="auto"/>
        <w:bidi w:val="0"/>
        <w:spacing w:before="0" w:after="0" w:line="240" w:lineRule="auto"/>
        <w:ind w:left="0" w:right="0" w:firstLine="700"/>
        <w:jc w:val="both"/>
      </w:pPr>
      <w:r>
        <w:rPr>
          <w:rStyle w:val="CharStyle11"/>
        </w:rPr>
        <w:t>Членов Комиссии: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Главного специалиста-эксперта отдела обжалования государственных закупок Е.Д. Мартьяновой,</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Специалиста-эксперта отдела обжалования государственных закупок А.И. Рахматуллаева,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рассмотрение жалобы проводилось дистанционно (посредством видеоконференцсвязи),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при участии представителей:</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ГБУЗ «ГП </w:t>
      </w:r>
      <w:r>
        <w:rPr>
          <w:rStyle w:val="CharStyle11"/>
          <w:lang w:val="en-US" w:eastAsia="en-US"/>
        </w:rPr>
        <w:t xml:space="preserve">№ 67 </w:t>
      </w:r>
      <w:r>
        <w:rPr>
          <w:rStyle w:val="CharStyle11"/>
        </w:rPr>
        <w:t xml:space="preserve">ДЗМ»: Е.Э. Овчинниковой (доверенность от </w:t>
      </w:r>
      <w:r>
        <w:rPr>
          <w:rStyle w:val="CharStyle11"/>
          <w:lang w:val="en-US" w:eastAsia="en-US"/>
        </w:rPr>
        <w:t xml:space="preserve">26.08.2025 </w:t>
      </w:r>
      <w:r>
        <w:rPr>
          <w:rStyle w:val="CharStyle11"/>
        </w:rPr>
        <w:t xml:space="preserve">№б/н), А.Г. Проскуряковой (доверенность от </w:t>
      </w:r>
      <w:r>
        <w:rPr>
          <w:rStyle w:val="CharStyle11"/>
          <w:lang w:val="en-US" w:eastAsia="en-US"/>
        </w:rPr>
        <w:t xml:space="preserve">26.08.2025 </w:t>
      </w:r>
      <w:r>
        <w:rPr>
          <w:rStyle w:val="CharStyle11"/>
        </w:rPr>
        <w:t xml:space="preserve">№б/н), С.Д. Якимовича (доверенность от </w:t>
      </w:r>
      <w:r>
        <w:rPr>
          <w:rStyle w:val="CharStyle11"/>
          <w:lang w:val="en-US" w:eastAsia="en-US"/>
        </w:rPr>
        <w:t xml:space="preserve">26.08.2025 </w:t>
      </w:r>
      <w:r>
        <w:rPr>
          <w:rStyle w:val="CharStyle11"/>
        </w:rPr>
        <w:t>№б/н),</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ООО «Печатное Мастерство»: С.С. Соколова (доверенность от </w:t>
      </w:r>
      <w:r>
        <w:rPr>
          <w:rStyle w:val="CharStyle11"/>
          <w:lang w:val="en-US" w:eastAsia="en-US"/>
        </w:rPr>
        <w:t>15.07.2025 №15.07.25),</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рассмотрев жалобу ООО «Печатное Мастерство» (далее </w:t>
      </w:r>
      <w:r>
        <w:rPr>
          <w:rStyle w:val="CharStyle11"/>
          <w:lang w:val="en-US" w:eastAsia="en-US"/>
        </w:rPr>
        <w:t xml:space="preserve">— </w:t>
      </w:r>
      <w:r>
        <w:rPr>
          <w:rStyle w:val="CharStyle11"/>
        </w:rPr>
        <w:t xml:space="preserve">Заявитель) на действия ГБУЗ «ГП </w:t>
      </w:r>
      <w:r>
        <w:rPr>
          <w:rStyle w:val="CharStyle11"/>
          <w:lang w:val="en-US" w:eastAsia="en-US"/>
        </w:rPr>
        <w:t xml:space="preserve">№ 67 </w:t>
      </w:r>
      <w:r>
        <w:rPr>
          <w:rStyle w:val="CharStyle11"/>
        </w:rPr>
        <w:t xml:space="preserve">ДЗМ» (далее </w:t>
      </w:r>
      <w:r>
        <w:rPr>
          <w:rStyle w:val="CharStyle11"/>
          <w:lang w:val="en-US" w:eastAsia="en-US"/>
        </w:rPr>
        <w:t xml:space="preserve">— </w:t>
      </w:r>
      <w:r>
        <w:rPr>
          <w:rStyle w:val="CharStyle11"/>
        </w:rPr>
        <w:t xml:space="preserve">Заказчик) при проведении электронного аукциона на право заключения государственного контракта на поставку картриджей для оргтехники для нужд ГБУЗ «ГП </w:t>
      </w:r>
      <w:r>
        <w:rPr>
          <w:rStyle w:val="CharStyle11"/>
          <w:lang w:val="en-US" w:eastAsia="en-US"/>
        </w:rPr>
        <w:t xml:space="preserve">№ 67 </w:t>
      </w:r>
      <w:r>
        <w:rPr>
          <w:rStyle w:val="CharStyle11"/>
        </w:rPr>
        <w:t xml:space="preserve">ДЗМ» (Закупка </w:t>
      </w:r>
      <w:r>
        <w:rPr>
          <w:rStyle w:val="CharStyle11"/>
          <w:lang w:val="en-US" w:eastAsia="en-US"/>
        </w:rPr>
        <w:t xml:space="preserve">№0373200585525000076) </w:t>
      </w:r>
      <w:r>
        <w:rPr>
          <w:rStyle w:val="CharStyle11"/>
        </w:rPr>
        <w:t xml:space="preserve">(далее </w:t>
      </w:r>
      <w:r>
        <w:rPr>
          <w:rStyle w:val="CharStyle11"/>
          <w:lang w:val="en-US" w:eastAsia="en-US"/>
        </w:rPr>
        <w:t xml:space="preserve">– </w:t>
      </w:r>
      <w:r>
        <w:rPr>
          <w:rStyle w:val="CharStyle11"/>
        </w:rPr>
        <w:t xml:space="preserve">аукцион) в соответствии с Федеральным законом от </w:t>
      </w:r>
      <w:r>
        <w:rPr>
          <w:rStyle w:val="CharStyle11"/>
          <w:lang w:val="en-US" w:eastAsia="en-US"/>
        </w:rPr>
        <w:t xml:space="preserve">05.04.2013 </w:t>
      </w:r>
      <w:r>
        <w:rPr>
          <w:rStyle w:val="CharStyle11"/>
        </w:rPr>
        <w:t>№44-ФЗ «О контрактной системе в сфере закупок товаров, работ, услуг для обеспечения</w:t>
      </w:r>
    </w:p>
    <w:p>
      <w:pPr>
        <w:widowControl w:val="0"/>
        <w:spacing w:line="1" w:lineRule="exact"/>
      </w:pPr>
      <w:r>
        <w:drawing>
          <wp:anchor distT="88900" distB="0" distL="0" distR="0" simplePos="0" relativeHeight="125829380" behindDoc="0" locked="0" layoutInCell="1" allowOverlap="1">
            <wp:simplePos x="0" y="0"/>
            <wp:positionH relativeFrom="page">
              <wp:posOffset>717550</wp:posOffset>
            </wp:positionH>
            <wp:positionV relativeFrom="paragraph">
              <wp:posOffset>88900</wp:posOffset>
            </wp:positionV>
            <wp:extent cx="1511935" cy="29273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3"/>
                    <a:stretch/>
                  </pic:blipFill>
                  <pic:spPr>
                    <a:xfrm>
                      <a:ext cx="1511935" cy="292735"/>
                    </a:xfrm>
                    <a:prstGeom prst="rect"/>
                  </pic:spPr>
                </pic:pic>
              </a:graphicData>
            </a:graphic>
          </wp:anchor>
        </w:drawing>
      </w:r>
    </w:p>
    <w:p>
      <w:pPr>
        <w:pStyle w:val="Style10"/>
        <w:keepNext w:val="0"/>
        <w:keepLines w:val="0"/>
        <w:widowControl w:val="0"/>
        <w:shd w:val="clear" w:color="auto" w:fill="auto"/>
        <w:bidi w:val="0"/>
        <w:spacing w:before="0" w:after="240" w:line="240" w:lineRule="auto"/>
        <w:ind w:left="0" w:right="0" w:firstLine="0"/>
        <w:jc w:val="both"/>
      </w:pPr>
      <w:r>
        <w:rPr>
          <w:rStyle w:val="CharStyle11"/>
        </w:rPr>
        <w:t xml:space="preserve">государственных и муниципальных нужд» (далее </w:t>
      </w:r>
      <w:r>
        <w:rPr>
          <w:rStyle w:val="CharStyle11"/>
          <w:lang w:val="en-US" w:eastAsia="en-US"/>
        </w:rPr>
        <w:t xml:space="preserve">– </w:t>
      </w:r>
      <w:r>
        <w:rPr>
          <w:rStyle w:val="CharStyle11"/>
        </w:rPr>
        <w:t>Закон о контрактной системе),</w:t>
      </w:r>
    </w:p>
    <w:p>
      <w:pPr>
        <w:pStyle w:val="Style10"/>
        <w:keepNext w:val="0"/>
        <w:keepLines w:val="0"/>
        <w:widowControl w:val="0"/>
        <w:shd w:val="clear" w:color="auto" w:fill="auto"/>
        <w:bidi w:val="0"/>
        <w:spacing w:before="0" w:after="240" w:line="240" w:lineRule="auto"/>
        <w:ind w:left="0" w:right="0" w:firstLine="0"/>
        <w:jc w:val="center"/>
      </w:pPr>
      <w:r>
        <w:rPr>
          <w:rStyle w:val="CharStyle11"/>
          <w:b/>
          <w:bCs/>
        </w:rPr>
        <w:t>УСТАНОВИЛА: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 Московское УФАС России поступила жалоба Заявителя на действия Заказчика при проведении вышеуказанного аукциона.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Заявитель обжалует положения извещения об осуществлении закупки установленные, по его мнению, в нарушение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На заседании Комиссии Управления Заказчиком представлены документы и сведения, запрашиваемые Московским УФАС России.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 результате рассмотрения жалобы, рассмотрев представленные документы и сведения, Комиссия Управления установила следующее.</w:t>
      </w:r>
    </w:p>
    <w:p>
      <w:pPr>
        <w:pStyle w:val="Style10"/>
        <w:keepNext w:val="0"/>
        <w:keepLines w:val="0"/>
        <w:widowControl w:val="0"/>
        <w:shd w:val="clear" w:color="auto" w:fill="auto"/>
        <w:bidi w:val="0"/>
        <w:spacing w:before="0" w:after="0" w:line="240" w:lineRule="auto"/>
        <w:ind w:left="0" w:right="0" w:firstLine="700"/>
        <w:jc w:val="both"/>
      </w:pPr>
      <w:r>
        <w:rPr>
          <w:rStyle w:val="CharStyle11"/>
          <w:lang w:val="en-US" w:eastAsia="en-US"/>
        </w:rPr>
        <w:t xml:space="preserve">1. </w:t>
      </w:r>
      <w:r>
        <w:rPr>
          <w:rStyle w:val="CharStyle11"/>
        </w:rPr>
        <w:t xml:space="preserve">В составе жалобы Заявитель указывает, что Заказчиком неправомерно не установлены ограничения в соответствии с постановлением Правительства Российской Федерации от </w:t>
      </w:r>
      <w:r>
        <w:rPr>
          <w:rStyle w:val="CharStyle11"/>
          <w:lang w:val="en-US" w:eastAsia="en-US"/>
        </w:rPr>
        <w:t xml:space="preserve">23.12.2024 № 1875 </w:t>
      </w:r>
      <w:r>
        <w:rPr>
          <w:rStyle w:val="CharStyle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 1875), </w:t>
      </w:r>
      <w:r>
        <w:rPr>
          <w:rStyle w:val="CharStyle11"/>
        </w:rPr>
        <w:t xml:space="preserve">поскольку закупаемые Заказчиком товары «Картридж для электрографических печатающих устройств» входят в перечень согласно Приложению </w:t>
      </w:r>
      <w:r>
        <w:rPr>
          <w:rStyle w:val="CharStyle11"/>
          <w:lang w:val="en-US" w:eastAsia="en-US"/>
        </w:rPr>
        <w:t xml:space="preserve">№2, </w:t>
      </w:r>
      <w:r>
        <w:rPr>
          <w:rStyle w:val="CharStyle11"/>
        </w:rPr>
        <w:t xml:space="preserve">а именно в пункт </w:t>
      </w:r>
      <w:r>
        <w:rPr>
          <w:rStyle w:val="CharStyle11"/>
          <w:lang w:val="en-US" w:eastAsia="en-US"/>
        </w:rPr>
        <w:t xml:space="preserve">205 – </w:t>
      </w:r>
      <w:r>
        <w:rPr>
          <w:rStyle w:val="CharStyle11"/>
        </w:rPr>
        <w:t xml:space="preserve">блоки, части и принадлежности вычислительных машин, за исключением устройств числового программного управления, соответствующих коду </w:t>
      </w:r>
      <w:r>
        <w:rPr>
          <w:rStyle w:val="CharStyle11"/>
          <w:lang w:val="en-US" w:eastAsia="en-US"/>
        </w:rPr>
        <w:t xml:space="preserve">26.20.40.150 </w:t>
      </w:r>
      <w:r>
        <w:rPr>
          <w:rStyle w:val="CharStyle11"/>
        </w:rPr>
        <w:t xml:space="preserve">по Общероссийскому классификатору продукции по видам экономической деятельности ОК </w:t>
      </w:r>
      <w:r>
        <w:rPr>
          <w:rStyle w:val="CharStyle11"/>
          <w:lang w:val="en-US" w:eastAsia="en-US"/>
        </w:rPr>
        <w:t xml:space="preserve">034-2014 </w:t>
      </w:r>
      <w:r>
        <w:rPr>
          <w:rStyle w:val="CharStyle11"/>
        </w:rPr>
        <w:t xml:space="preserve">(КПЕС </w:t>
      </w:r>
      <w:r>
        <w:rPr>
          <w:rStyle w:val="CharStyle11"/>
          <w:lang w:val="en-US" w:eastAsia="en-US"/>
        </w:rPr>
        <w:t xml:space="preserve">2008), </w:t>
      </w:r>
      <w:r>
        <w:rPr>
          <w:rStyle w:val="CharStyle11"/>
        </w:rPr>
        <w:t xml:space="preserve">код ОКПД2 </w:t>
      </w:r>
      <w:r>
        <w:rPr>
          <w:rStyle w:val="CharStyle11"/>
          <w:lang w:val="en-US" w:eastAsia="en-US"/>
        </w:rPr>
        <w:t xml:space="preserve">– 26.20.40.120, </w:t>
      </w:r>
      <w:r>
        <w:rPr>
          <w:rStyle w:val="CharStyle11"/>
        </w:rPr>
        <w:t>ввиду чего Заказчику надлежало установить ограничение закупок товаров, происходящих из иностранных государств.</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0"/>
        <w:keepNext w:val="0"/>
        <w:keepLines w:val="0"/>
        <w:widowControl w:val="0"/>
        <w:shd w:val="clear" w:color="auto" w:fill="auto"/>
        <w:bidi w:val="0"/>
        <w:spacing w:before="0" w:after="240" w:line="240" w:lineRule="auto"/>
        <w:ind w:left="0" w:right="0" w:firstLine="700"/>
        <w:jc w:val="both"/>
        <w:rPr>
          <w:sz w:val="24"/>
          <w:szCs w:val="24"/>
        </w:rPr>
      </w:pPr>
      <w:r>
        <w:rPr>
          <w:rStyle w:val="CharStyle11"/>
        </w:rPr>
        <w:t xml:space="preserve">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w:t>
      </w:r>
      <w:r>
        <w:rPr>
          <w:rStyle w:val="CharStyle11"/>
          <w:sz w:val="24"/>
          <w:szCs w:val="24"/>
          <w:lang w:val="en-US" w:eastAsia="en-US"/>
        </w:rPr>
        <w:t>2025-39732</w:t>
      </w:r>
    </w:p>
    <w:p>
      <w:pPr>
        <w:pStyle w:val="Style10"/>
        <w:keepNext w:val="0"/>
        <w:keepLines w:val="0"/>
        <w:widowControl w:val="0"/>
        <w:shd w:val="clear" w:color="auto" w:fill="auto"/>
        <w:bidi w:val="0"/>
        <w:spacing w:before="0" w:after="0" w:line="240" w:lineRule="auto"/>
        <w:ind w:left="0" w:right="0" w:firstLine="0"/>
        <w:jc w:val="both"/>
      </w:pPr>
      <w:r>
        <w:rPr>
          <w:rStyle w:val="CharStyle11"/>
        </w:rPr>
        <w:t>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1"/>
          <w:lang w:val="en-US" w:eastAsia="en-US"/>
        </w:rPr>
        <w:t xml:space="preserve">- </w:t>
      </w:r>
      <w:r>
        <w:rPr>
          <w:rStyle w:val="CharStyle11"/>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1"/>
          <w:lang w:val="en-US" w:eastAsia="en-US"/>
        </w:rPr>
        <w:t xml:space="preserve">- </w:t>
      </w:r>
      <w:r>
        <w:rPr>
          <w:rStyle w:val="CharStyle11"/>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1"/>
          <w:lang w:val="en-US" w:eastAsia="en-US"/>
        </w:rPr>
        <w:t xml:space="preserve">- </w:t>
      </w:r>
      <w:r>
        <w:rPr>
          <w:rStyle w:val="CharStyle11"/>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0"/>
        <w:keepNext w:val="0"/>
        <w:keepLines w:val="0"/>
        <w:widowControl w:val="0"/>
        <w:shd w:val="clear" w:color="auto" w:fill="auto"/>
        <w:bidi w:val="0"/>
        <w:spacing w:before="0" w:after="0" w:line="264" w:lineRule="auto"/>
        <w:ind w:left="0" w:right="0" w:firstLine="700"/>
        <w:jc w:val="both"/>
      </w:pPr>
      <w:r>
        <w:rPr>
          <w:rStyle w:val="CharStyle11"/>
        </w:rPr>
        <w:t>Согласно ч.2 ст.14 Закона о контрактной системе Правительство Российской Федерации:</w:t>
      </w:r>
    </w:p>
    <w:p>
      <w:pPr>
        <w:pStyle w:val="Style10"/>
        <w:keepNext w:val="0"/>
        <w:keepLines w:val="0"/>
        <w:widowControl w:val="0"/>
        <w:numPr>
          <w:ilvl w:val="0"/>
          <w:numId w:val="1"/>
        </w:numPr>
        <w:shd w:val="clear" w:color="auto" w:fill="auto"/>
        <w:tabs>
          <w:tab w:pos="1089" w:val="left"/>
        </w:tabs>
        <w:bidi w:val="0"/>
        <w:spacing w:before="0" w:after="0" w:line="264" w:lineRule="auto"/>
        <w:ind w:left="0" w:right="0" w:firstLine="700"/>
        <w:jc w:val="both"/>
      </w:pPr>
      <w:r>
        <w:rPr>
          <w:rStyle w:val="CharStyle11"/>
        </w:rPr>
        <w:t>вправе с учетом положений ч.3 ст.14 Закона о контрактной системе принимать меры, устанавливающие:</w:t>
      </w:r>
    </w:p>
    <w:p>
      <w:pPr>
        <w:pStyle w:val="Style10"/>
        <w:keepNext w:val="0"/>
        <w:keepLines w:val="0"/>
        <w:widowControl w:val="0"/>
        <w:numPr>
          <w:ilvl w:val="0"/>
          <w:numId w:val="3"/>
        </w:numPr>
        <w:shd w:val="clear" w:color="auto" w:fill="auto"/>
        <w:tabs>
          <w:tab w:pos="1089" w:val="left"/>
        </w:tabs>
        <w:bidi w:val="0"/>
        <w:spacing w:before="0" w:after="0" w:line="264" w:lineRule="auto"/>
        <w:ind w:left="0" w:right="0" w:firstLine="700"/>
        <w:jc w:val="both"/>
      </w:pPr>
      <w:r>
        <w:rPr>
          <w:rStyle w:val="CharStyle11"/>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3"/>
        </w:numPr>
        <w:shd w:val="clear" w:color="auto" w:fill="auto"/>
        <w:tabs>
          <w:tab w:pos="1089" w:val="left"/>
        </w:tabs>
        <w:bidi w:val="0"/>
        <w:spacing w:before="0" w:after="0" w:line="264" w:lineRule="auto"/>
        <w:ind w:left="0" w:right="0" w:firstLine="700"/>
        <w:jc w:val="both"/>
      </w:pPr>
      <w:r>
        <w:rPr>
          <w:rStyle w:val="CharStyle11"/>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3"/>
        </w:numPr>
        <w:shd w:val="clear" w:color="auto" w:fill="auto"/>
        <w:tabs>
          <w:tab w:pos="1089" w:val="left"/>
        </w:tabs>
        <w:bidi w:val="0"/>
        <w:spacing w:before="0" w:after="0" w:line="264" w:lineRule="auto"/>
        <w:ind w:left="0" w:right="0" w:firstLine="700"/>
        <w:jc w:val="both"/>
      </w:pPr>
      <w:r>
        <w:rPr>
          <w:rStyle w:val="CharStyle11"/>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0"/>
        <w:keepNext w:val="0"/>
        <w:keepLines w:val="0"/>
        <w:widowControl w:val="0"/>
        <w:numPr>
          <w:ilvl w:val="0"/>
          <w:numId w:val="1"/>
        </w:numPr>
        <w:shd w:val="clear" w:color="auto" w:fill="auto"/>
        <w:tabs>
          <w:tab w:pos="1089" w:val="left"/>
        </w:tabs>
        <w:bidi w:val="0"/>
        <w:spacing w:before="0" w:after="0" w:line="264" w:lineRule="auto"/>
        <w:ind w:left="0" w:right="0" w:firstLine="700"/>
        <w:jc w:val="both"/>
      </w:pPr>
      <w:r>
        <w:rPr>
          <w:rStyle w:val="CharStyle11"/>
        </w:rPr>
        <w:t>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п.1 ч.2 ст.14 Закона о контрактной системе.</w:t>
      </w:r>
    </w:p>
    <w:p>
      <w:pPr>
        <w:pStyle w:val="Style10"/>
        <w:keepNext w:val="0"/>
        <w:keepLines w:val="0"/>
        <w:widowControl w:val="0"/>
        <w:shd w:val="clear" w:color="auto" w:fill="auto"/>
        <w:bidi w:val="0"/>
        <w:spacing w:before="0" w:after="0" w:line="307" w:lineRule="auto"/>
        <w:ind w:left="0" w:right="0" w:firstLine="700"/>
        <w:jc w:val="both"/>
        <w:rPr>
          <w:sz w:val="24"/>
          <w:szCs w:val="24"/>
        </w:rPr>
        <w:sectPr>
          <w:footnotePr>
            <w:pos w:val="pageBottom"/>
            <w:numFmt w:val="decimal"/>
            <w:numRestart w:val="continuous"/>
          </w:footnotePr>
          <w:type w:val="continuous"/>
          <w:pgSz w:w="11900" w:h="16840"/>
          <w:pgMar w:top="665" w:right="543" w:bottom="536" w:left="1100" w:header="0" w:footer="3" w:gutter="0"/>
          <w:cols w:space="720"/>
          <w:noEndnote/>
          <w:rtlGutter w:val="0"/>
          <w:docGrid w:linePitch="360"/>
        </w:sectPr>
      </w:pPr>
      <w:r>
        <w:rPr>
          <w:rStyle w:val="CharStyle11"/>
        </w:rPr>
        <w:t xml:space="preserve">В соответствии с п.2 ч.4 ст.14 Закона о контрактной системе при осуществлении закупки товара если Правительством Российской Федерации </w:t>
      </w:r>
      <w:r>
        <w:rPr>
          <w:rStyle w:val="CharStyle11"/>
          <w:sz w:val="24"/>
          <w:szCs w:val="24"/>
          <w:lang w:val="en-US" w:eastAsia="en-US"/>
        </w:rPr>
        <w:t>2025-39732</w:t>
      </w:r>
    </w:p>
    <w:p>
      <w:pPr>
        <w:pStyle w:val="Style10"/>
        <w:keepNext w:val="0"/>
        <w:keepLines w:val="0"/>
        <w:widowControl w:val="0"/>
        <w:shd w:val="clear" w:color="auto" w:fill="auto"/>
        <w:bidi w:val="0"/>
        <w:spacing w:before="0" w:after="0" w:line="264" w:lineRule="auto"/>
        <w:ind w:left="0" w:right="0" w:firstLine="0"/>
        <w:jc w:val="both"/>
      </w:pPr>
      <w:r>
        <w:rPr>
          <w:rStyle w:val="CharStyle11"/>
        </w:rPr>
        <w:t>установлено предусмотренное пп.«б» п.1 ч.2 ст.14 Закона о контрактной системе ограничение закупок товара:</w:t>
      </w:r>
    </w:p>
    <w:p>
      <w:pPr>
        <w:pStyle w:val="Style10"/>
        <w:keepNext w:val="0"/>
        <w:keepLines w:val="0"/>
        <w:widowControl w:val="0"/>
        <w:numPr>
          <w:ilvl w:val="0"/>
          <w:numId w:val="5"/>
        </w:numPr>
        <w:shd w:val="clear" w:color="auto" w:fill="auto"/>
        <w:tabs>
          <w:tab w:pos="1056" w:val="left"/>
        </w:tabs>
        <w:bidi w:val="0"/>
        <w:spacing w:before="0" w:after="0" w:line="264" w:lineRule="auto"/>
        <w:ind w:left="0" w:right="0" w:firstLine="700"/>
        <w:jc w:val="both"/>
      </w:pPr>
      <w:r>
        <w:rPr>
          <w:rStyle w:val="CharStyle11"/>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10"/>
        <w:keepNext w:val="0"/>
        <w:keepLines w:val="0"/>
        <w:widowControl w:val="0"/>
        <w:numPr>
          <w:ilvl w:val="0"/>
          <w:numId w:val="5"/>
        </w:numPr>
        <w:shd w:val="clear" w:color="auto" w:fill="auto"/>
        <w:tabs>
          <w:tab w:pos="1057" w:val="left"/>
        </w:tabs>
        <w:bidi w:val="0"/>
        <w:spacing w:before="0" w:after="0" w:line="264" w:lineRule="auto"/>
        <w:ind w:left="0" w:right="0" w:firstLine="700"/>
        <w:jc w:val="both"/>
      </w:pPr>
      <w:r>
        <w:rPr>
          <w:rStyle w:val="CharStyle11"/>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10"/>
        <w:keepNext w:val="0"/>
        <w:keepLines w:val="0"/>
        <w:widowControl w:val="0"/>
        <w:shd w:val="clear" w:color="auto" w:fill="auto"/>
        <w:bidi w:val="0"/>
        <w:spacing w:before="0" w:after="0" w:line="264" w:lineRule="auto"/>
        <w:ind w:left="0" w:right="0" w:firstLine="700"/>
        <w:jc w:val="both"/>
      </w:pPr>
      <w:r>
        <w:rPr>
          <w:rStyle w:val="CharStyle11"/>
        </w:rPr>
        <w:t>Комиссия Управления отмечает, что согласно извещению о проведении аукциона объектом закупочной процедуры является поставка картриджей для оргтехники.</w:t>
      </w:r>
    </w:p>
    <w:p>
      <w:pPr>
        <w:pStyle w:val="Style10"/>
        <w:keepNext w:val="0"/>
        <w:keepLines w:val="0"/>
        <w:widowControl w:val="0"/>
        <w:shd w:val="clear" w:color="auto" w:fill="auto"/>
        <w:bidi w:val="0"/>
        <w:spacing w:before="0" w:after="0" w:line="264" w:lineRule="auto"/>
        <w:ind w:left="0" w:right="0" w:firstLine="700"/>
        <w:jc w:val="both"/>
      </w:pPr>
      <w:r>
        <w:rPr>
          <w:rStyle w:val="CharStyle11"/>
        </w:rPr>
        <w:t xml:space="preserve">Согласно ч.1 ст.49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пп.«м» </w:t>
      </w:r>
      <w:r>
        <w:rPr>
          <w:rStyle w:val="CharStyle11"/>
          <w:lang w:val="en-US" w:eastAsia="en-US"/>
        </w:rPr>
        <w:t xml:space="preserve">- </w:t>
      </w:r>
      <w:r>
        <w:rPr>
          <w:rStyle w:val="CharStyle11"/>
        </w:rPr>
        <w:t xml:space="preserve">«п» п.1, пп.«а» </w:t>
      </w:r>
      <w:r>
        <w:rPr>
          <w:rStyle w:val="CharStyle11"/>
          <w:lang w:val="en-US" w:eastAsia="en-US"/>
        </w:rPr>
        <w:t xml:space="preserve">- </w:t>
      </w:r>
      <w:r>
        <w:rPr>
          <w:rStyle w:val="CharStyle11"/>
        </w:rPr>
        <w:t>«в» п.2, п.3 или п.4,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10"/>
        <w:keepNext w:val="0"/>
        <w:keepLines w:val="0"/>
        <w:widowControl w:val="0"/>
        <w:shd w:val="clear" w:color="auto" w:fill="auto"/>
        <w:bidi w:val="0"/>
        <w:spacing w:before="0" w:after="0" w:line="264" w:lineRule="auto"/>
        <w:ind w:left="0" w:right="0" w:firstLine="700"/>
        <w:jc w:val="both"/>
      </w:pPr>
      <w:r>
        <w:rPr>
          <w:rStyle w:val="CharStyle11"/>
        </w:rPr>
        <w:t xml:space="preserve">В силу абз.3 п.1 Постановления </w:t>
      </w:r>
      <w:r>
        <w:rPr>
          <w:rStyle w:val="CharStyle11"/>
          <w:lang w:val="en-US" w:eastAsia="en-US"/>
        </w:rPr>
        <w:t xml:space="preserve">№1875 </w:t>
      </w:r>
      <w:r>
        <w:rPr>
          <w:rStyle w:val="CharStyle11"/>
        </w:rPr>
        <w:t xml:space="preserve">установлены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1"/>
          <w:lang w:val="en-US" w:eastAsia="en-US"/>
        </w:rPr>
        <w:t>№ 2.</w:t>
      </w:r>
    </w:p>
    <w:p>
      <w:pPr>
        <w:pStyle w:val="Style10"/>
        <w:keepNext w:val="0"/>
        <w:keepLines w:val="0"/>
        <w:widowControl w:val="0"/>
        <w:shd w:val="clear" w:color="auto" w:fill="auto"/>
        <w:bidi w:val="0"/>
        <w:spacing w:before="0" w:after="0" w:line="264" w:lineRule="auto"/>
        <w:ind w:left="0" w:right="0" w:firstLine="700"/>
        <w:jc w:val="both"/>
      </w:pPr>
      <w:r>
        <w:rPr>
          <w:rStyle w:val="CharStyle11"/>
        </w:rPr>
        <w:t xml:space="preserve">В силу пп. «д» п.4 Постановления </w:t>
      </w:r>
      <w:r>
        <w:rPr>
          <w:rStyle w:val="CharStyle11"/>
          <w:lang w:val="en-US" w:eastAsia="en-US"/>
        </w:rPr>
        <w:t xml:space="preserve">№ 1875 </w:t>
      </w:r>
      <w:r>
        <w:rPr>
          <w:rStyle w:val="CharStyle11"/>
        </w:rPr>
        <w:t xml:space="preserve">позиции приложения </w:t>
      </w:r>
      <w:r>
        <w:rPr>
          <w:rStyle w:val="CharStyle11"/>
          <w:lang w:val="en-US" w:eastAsia="en-US"/>
        </w:rPr>
        <w:t xml:space="preserve">№ 1 </w:t>
      </w:r>
      <w:r>
        <w:rPr>
          <w:rStyle w:val="CharStyle11"/>
        </w:rPr>
        <w:t xml:space="preserve">к Постановлению </w:t>
      </w:r>
      <w:r>
        <w:rPr>
          <w:rStyle w:val="CharStyle11"/>
          <w:lang w:val="en-US" w:eastAsia="en-US"/>
        </w:rPr>
        <w:t xml:space="preserve">№ 1875 </w:t>
      </w:r>
      <w:r>
        <w:rPr>
          <w:rStyle w:val="CharStyle11"/>
        </w:rPr>
        <w:t xml:space="preserve">и приложения </w:t>
      </w:r>
      <w:r>
        <w:rPr>
          <w:rStyle w:val="CharStyle11"/>
          <w:lang w:val="en-US" w:eastAsia="en-US"/>
        </w:rPr>
        <w:t xml:space="preserve">№ 2 </w:t>
      </w:r>
      <w:r>
        <w:rPr>
          <w:rStyle w:val="CharStyle11"/>
        </w:rPr>
        <w:t xml:space="preserve">к Постановлению </w:t>
      </w:r>
      <w:r>
        <w:rPr>
          <w:rStyle w:val="CharStyle11"/>
          <w:lang w:val="en-US" w:eastAsia="en-US"/>
        </w:rPr>
        <w:t xml:space="preserve">№ 1875 </w:t>
      </w:r>
      <w:r>
        <w:rPr>
          <w:rStyle w:val="CharStyle11"/>
        </w:rPr>
        <w:t xml:space="preserve">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w:t>
      </w:r>
      <w:r>
        <w:rPr>
          <w:rStyle w:val="CharStyle11"/>
          <w:lang w:val="en-US" w:eastAsia="en-US"/>
        </w:rPr>
        <w:t xml:space="preserve">034-2014 </w:t>
      </w:r>
      <w:r>
        <w:rPr>
          <w:rStyle w:val="CharStyle11"/>
        </w:rPr>
        <w:t xml:space="preserve">(КПЕС </w:t>
      </w:r>
      <w:r>
        <w:rPr>
          <w:rStyle w:val="CharStyle11"/>
          <w:lang w:val="en-US" w:eastAsia="en-US"/>
        </w:rPr>
        <w:t xml:space="preserve">2008)», </w:t>
      </w:r>
      <w:r>
        <w:rPr>
          <w:rStyle w:val="CharStyle11"/>
        </w:rPr>
        <w:t xml:space="preserve">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w:t>
      </w:r>
      <w:r>
        <w:rPr>
          <w:rStyle w:val="CharStyle11"/>
          <w:lang w:val="en-US" w:eastAsia="en-US"/>
        </w:rPr>
        <w:t xml:space="preserve">034-2014 </w:t>
      </w:r>
      <w:r>
        <w:rPr>
          <w:rStyle w:val="CharStyle11"/>
        </w:rPr>
        <w:t xml:space="preserve">(КПЕС </w:t>
      </w:r>
      <w:r>
        <w:rPr>
          <w:rStyle w:val="CharStyle11"/>
          <w:lang w:val="en-US" w:eastAsia="en-US"/>
        </w:rPr>
        <w:t xml:space="preserve">2008)». </w:t>
      </w:r>
      <w:r>
        <w:rPr>
          <w:rStyle w:val="CharStyle11"/>
        </w:rPr>
        <w:t>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w:t>
      </w:r>
    </w:p>
    <w:p>
      <w:pPr>
        <w:pStyle w:val="Style10"/>
        <w:keepNext w:val="0"/>
        <w:keepLines w:val="0"/>
        <w:widowControl w:val="0"/>
        <w:shd w:val="clear" w:color="auto" w:fill="auto"/>
        <w:bidi w:val="0"/>
        <w:spacing w:before="0" w:after="0" w:line="259" w:lineRule="auto"/>
        <w:ind w:left="0" w:right="0" w:firstLine="0"/>
        <w:jc w:val="both"/>
      </w:pPr>
      <w:r>
        <w:rPr>
          <w:rStyle w:val="CharStyle11"/>
        </w:rPr>
        <w:t>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10"/>
        <w:keepNext w:val="0"/>
        <w:keepLines w:val="0"/>
        <w:widowControl w:val="0"/>
        <w:shd w:val="clear" w:color="auto" w:fill="auto"/>
        <w:bidi w:val="0"/>
        <w:spacing w:before="0" w:after="0" w:line="259" w:lineRule="auto"/>
        <w:ind w:left="0" w:right="0" w:firstLine="700"/>
        <w:jc w:val="both"/>
      </w:pPr>
      <w:r>
        <w:rPr>
          <w:rStyle w:val="CharStyle11"/>
        </w:rPr>
        <w:t xml:space="preserve">П.6 Постановления </w:t>
      </w:r>
      <w:r>
        <w:rPr>
          <w:rStyle w:val="CharStyle11"/>
          <w:lang w:val="en-US" w:eastAsia="en-US"/>
        </w:rPr>
        <w:t xml:space="preserve">№1875 </w:t>
      </w:r>
      <w:r>
        <w:rPr>
          <w:rStyle w:val="CharStyle11"/>
        </w:rPr>
        <w:t xml:space="preserve">установлено, что ограничение, предусмотренное п.1 Постановления </w:t>
      </w:r>
      <w:r>
        <w:rPr>
          <w:rStyle w:val="CharStyle11"/>
          <w:lang w:val="en-US" w:eastAsia="en-US"/>
        </w:rPr>
        <w:t xml:space="preserve">№1875, </w:t>
      </w:r>
      <w:r>
        <w:rPr>
          <w:rStyle w:val="CharStyle11"/>
        </w:rPr>
        <w:t>может не применяться заказчиками при осуществлении закупок:</w:t>
      </w:r>
    </w:p>
    <w:p>
      <w:pPr>
        <w:pStyle w:val="Style10"/>
        <w:keepNext w:val="0"/>
        <w:keepLines w:val="0"/>
        <w:widowControl w:val="0"/>
        <w:numPr>
          <w:ilvl w:val="0"/>
          <w:numId w:val="7"/>
        </w:numPr>
        <w:shd w:val="clear" w:color="auto" w:fill="auto"/>
        <w:tabs>
          <w:tab w:pos="1074" w:val="left"/>
        </w:tabs>
        <w:bidi w:val="0"/>
        <w:spacing w:before="0" w:after="0" w:line="259" w:lineRule="auto"/>
        <w:ind w:left="0" w:right="0" w:firstLine="700"/>
        <w:jc w:val="both"/>
      </w:pPr>
      <w:r>
        <w:rPr>
          <w:rStyle w:val="CharStyle11"/>
        </w:rPr>
        <w:t xml:space="preserve">товара определенного товарного знака ввиду его несовместимости с товарами, на которых размещаются другие товарные знаки, и необходимости обеспечения взаимодействия закупаемого товара с товарами, используемыми заказчиком, за исключением случаев осуществления закупок товара, указанного в позиции </w:t>
      </w:r>
      <w:r>
        <w:rPr>
          <w:rStyle w:val="CharStyle11"/>
          <w:lang w:val="en-US" w:eastAsia="en-US"/>
        </w:rPr>
        <w:t xml:space="preserve">371 </w:t>
      </w:r>
      <w:r>
        <w:rPr>
          <w:rStyle w:val="CharStyle11"/>
        </w:rPr>
        <w:t xml:space="preserve">приложения </w:t>
      </w:r>
      <w:r>
        <w:rPr>
          <w:rStyle w:val="CharStyle11"/>
          <w:lang w:val="en-US" w:eastAsia="en-US"/>
        </w:rPr>
        <w:t xml:space="preserve">№ 2 </w:t>
      </w:r>
      <w:r>
        <w:rPr>
          <w:rStyle w:val="CharStyle11"/>
        </w:rPr>
        <w:t xml:space="preserve">к Постановлению </w:t>
      </w:r>
      <w:r>
        <w:rPr>
          <w:rStyle w:val="CharStyle11"/>
          <w:lang w:val="en-US" w:eastAsia="en-US"/>
        </w:rPr>
        <w:t>№1875;</w:t>
      </w:r>
    </w:p>
    <w:p>
      <w:pPr>
        <w:pStyle w:val="Style10"/>
        <w:keepNext w:val="0"/>
        <w:keepLines w:val="0"/>
        <w:widowControl w:val="0"/>
        <w:numPr>
          <w:ilvl w:val="0"/>
          <w:numId w:val="7"/>
        </w:numPr>
        <w:shd w:val="clear" w:color="auto" w:fill="auto"/>
        <w:tabs>
          <w:tab w:pos="1074" w:val="left"/>
        </w:tabs>
        <w:bidi w:val="0"/>
        <w:spacing w:before="0" w:after="0" w:line="259" w:lineRule="auto"/>
        <w:ind w:left="0" w:right="0" w:firstLine="700"/>
        <w:jc w:val="both"/>
      </w:pPr>
      <w:r>
        <w:rPr>
          <w:rStyle w:val="CharStyle11"/>
        </w:rPr>
        <w:t xml:space="preserve">товара из числа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Положения настоящего подпункта не применяются при осуществлении закупок товаров, указанных в приложении </w:t>
      </w:r>
      <w:r>
        <w:rPr>
          <w:rStyle w:val="CharStyle11"/>
          <w:lang w:val="en-US" w:eastAsia="en-US"/>
        </w:rPr>
        <w:t xml:space="preserve">№ 2 </w:t>
      </w:r>
      <w:r>
        <w:rPr>
          <w:rStyle w:val="CharStyle11"/>
        </w:rPr>
        <w:t xml:space="preserve">к Постановлению </w:t>
      </w:r>
      <w:r>
        <w:rPr>
          <w:rStyle w:val="CharStyle11"/>
          <w:lang w:val="en-US" w:eastAsia="en-US"/>
        </w:rPr>
        <w:t xml:space="preserve">№1875 </w:t>
      </w:r>
      <w:r>
        <w:rPr>
          <w:rStyle w:val="CharStyle11"/>
        </w:rPr>
        <w:t>и являющихся расходными материалами, комплектующими, принадлежностями к медицинским изделиям;</w:t>
      </w:r>
    </w:p>
    <w:p>
      <w:pPr>
        <w:pStyle w:val="Style10"/>
        <w:keepNext w:val="0"/>
        <w:keepLines w:val="0"/>
        <w:widowControl w:val="0"/>
        <w:numPr>
          <w:ilvl w:val="0"/>
          <w:numId w:val="7"/>
        </w:numPr>
        <w:shd w:val="clear" w:color="auto" w:fill="auto"/>
        <w:tabs>
          <w:tab w:pos="1074" w:val="left"/>
        </w:tabs>
        <w:bidi w:val="0"/>
        <w:spacing w:before="0" w:after="0" w:line="259" w:lineRule="auto"/>
        <w:ind w:left="0" w:right="0" w:firstLine="700"/>
        <w:jc w:val="both"/>
      </w:pPr>
      <w:r>
        <w:rPr>
          <w:rStyle w:val="CharStyle11"/>
        </w:rPr>
        <w:t xml:space="preserve">товаров, указанных в позициях </w:t>
      </w:r>
      <w:r>
        <w:rPr>
          <w:rStyle w:val="CharStyle11"/>
          <w:lang w:val="en-US" w:eastAsia="en-US"/>
        </w:rPr>
        <w:t xml:space="preserve">100 </w:t>
      </w:r>
      <w:r>
        <w:rPr>
          <w:rStyle w:val="CharStyle11"/>
        </w:rPr>
        <w:t xml:space="preserve">и </w:t>
      </w:r>
      <w:r>
        <w:rPr>
          <w:rStyle w:val="CharStyle11"/>
          <w:lang w:val="en-US" w:eastAsia="en-US"/>
        </w:rPr>
        <w:t xml:space="preserve">101 </w:t>
      </w:r>
      <w:r>
        <w:rPr>
          <w:rStyle w:val="CharStyle11"/>
        </w:rPr>
        <w:t xml:space="preserve">приложения </w:t>
      </w:r>
      <w:r>
        <w:rPr>
          <w:rStyle w:val="CharStyle11"/>
          <w:lang w:val="en-US" w:eastAsia="en-US"/>
        </w:rPr>
        <w:t xml:space="preserve">№ 2 </w:t>
      </w:r>
      <w:r>
        <w:rPr>
          <w:rStyle w:val="CharStyle11"/>
        </w:rPr>
        <w:t xml:space="preserve">Постановлению </w:t>
      </w:r>
      <w:r>
        <w:rPr>
          <w:rStyle w:val="CharStyle11"/>
          <w:lang w:val="en-US" w:eastAsia="en-US"/>
        </w:rPr>
        <w:t xml:space="preserve">№1875, </w:t>
      </w:r>
      <w:r>
        <w:rPr>
          <w:rStyle w:val="CharStyle11"/>
        </w:rPr>
        <w:t>в целях обеспечения нужд спорта высших достижений;</w:t>
      </w:r>
    </w:p>
    <w:p>
      <w:pPr>
        <w:pStyle w:val="Style10"/>
        <w:keepNext w:val="0"/>
        <w:keepLines w:val="0"/>
        <w:widowControl w:val="0"/>
        <w:numPr>
          <w:ilvl w:val="0"/>
          <w:numId w:val="7"/>
        </w:numPr>
        <w:shd w:val="clear" w:color="auto" w:fill="auto"/>
        <w:tabs>
          <w:tab w:pos="1074" w:val="left"/>
        </w:tabs>
        <w:bidi w:val="0"/>
        <w:spacing w:before="0" w:after="0" w:line="259" w:lineRule="auto"/>
        <w:ind w:left="0" w:right="0" w:firstLine="700"/>
        <w:jc w:val="both"/>
      </w:pPr>
      <w:r>
        <w:rPr>
          <w:rStyle w:val="CharStyle11"/>
        </w:rPr>
        <w:t>товара из числа запасных частей и деталей к используемому оружию спортивному огнестрельному с нарезным стволом, происходящему из иностранного государства.</w:t>
      </w:r>
    </w:p>
    <w:p>
      <w:pPr>
        <w:pStyle w:val="Style10"/>
        <w:keepNext w:val="0"/>
        <w:keepLines w:val="0"/>
        <w:widowControl w:val="0"/>
        <w:shd w:val="clear" w:color="auto" w:fill="auto"/>
        <w:bidi w:val="0"/>
        <w:spacing w:before="0" w:after="0" w:line="259" w:lineRule="auto"/>
        <w:ind w:left="0" w:right="0" w:firstLine="700"/>
        <w:jc w:val="both"/>
      </w:pPr>
      <w:r>
        <w:rPr>
          <w:rStyle w:val="CharStyle11"/>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line="259" w:lineRule="auto"/>
        <w:ind w:left="0" w:right="0" w:firstLine="700"/>
        <w:jc w:val="both"/>
      </w:pPr>
      <w:r>
        <w:rPr>
          <w:rStyle w:val="CharStyle11"/>
        </w:rPr>
        <w:t xml:space="preserve">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w:t>
      </w:r>
      <w:r>
        <w:rPr>
          <w:rStyle w:val="CharStyle11"/>
          <w:lang w:val="en-US" w:eastAsia="en-US"/>
        </w:rPr>
        <w:t xml:space="preserve">33 </w:t>
      </w:r>
      <w:r>
        <w:rPr>
          <w:rStyle w:val="CharStyle11"/>
        </w:rPr>
        <w:t>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П.1, п.2 ч.1 ст.33 Закона о контрактной системе установлено, что Заказчик при описании объекта закупки должен руководствоваться следующими правилами:</w:t>
      </w:r>
    </w:p>
    <w:p>
      <w:pPr>
        <w:pStyle w:val="Style10"/>
        <w:keepNext w:val="0"/>
        <w:keepLines w:val="0"/>
        <w:widowControl w:val="0"/>
        <w:numPr>
          <w:ilvl w:val="0"/>
          <w:numId w:val="9"/>
        </w:numPr>
        <w:shd w:val="clear" w:color="auto" w:fill="auto"/>
        <w:tabs>
          <w:tab w:pos="1074" w:val="left"/>
        </w:tabs>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48" w:bottom="1114" w:left="1104" w:header="0" w:footer="3" w:gutter="0"/>
          <w:cols w:space="720"/>
          <w:noEndnote/>
          <w:rtlGutter w:val="0"/>
          <w:docGrid w:linePitch="360"/>
        </w:sectPr>
      </w:pPr>
      <w:r>
        <w:rPr>
          <w:rStyle w:val="CharStyle11"/>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w:t>
      </w:r>
    </w:p>
    <w:p>
      <w:pPr>
        <w:pStyle w:val="Style10"/>
        <w:keepNext w:val="0"/>
        <w:keepLines w:val="0"/>
        <w:widowControl w:val="0"/>
        <w:shd w:val="clear" w:color="auto" w:fill="auto"/>
        <w:bidi w:val="0"/>
        <w:spacing w:before="0" w:after="0" w:line="240" w:lineRule="auto"/>
        <w:ind w:left="0" w:right="0" w:firstLine="0"/>
        <w:jc w:val="both"/>
      </w:pPr>
      <w:r>
        <w:rPr>
          <w:rStyle w:val="CharStyle11"/>
        </w:rPr>
        <w:t>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11"/>
        </w:numPr>
        <w:shd w:val="clear" w:color="auto" w:fill="auto"/>
        <w:tabs>
          <w:tab w:pos="1056" w:val="left"/>
        </w:tabs>
        <w:bidi w:val="0"/>
        <w:spacing w:before="0" w:after="0" w:line="240" w:lineRule="auto"/>
        <w:ind w:left="0" w:right="0" w:firstLine="700"/>
        <w:jc w:val="both"/>
      </w:pPr>
      <w:r>
        <w:rPr>
          <w:rStyle w:val="CharStyle11"/>
        </w:rPr>
        <w:t>сопровождение такого указания словами «или эквивалент»;</w:t>
      </w:r>
    </w:p>
    <w:p>
      <w:pPr>
        <w:pStyle w:val="Style10"/>
        <w:keepNext w:val="0"/>
        <w:keepLines w:val="0"/>
        <w:widowControl w:val="0"/>
        <w:numPr>
          <w:ilvl w:val="0"/>
          <w:numId w:val="11"/>
        </w:numPr>
        <w:shd w:val="clear" w:color="auto" w:fill="auto"/>
        <w:tabs>
          <w:tab w:pos="1100" w:val="left"/>
        </w:tabs>
        <w:bidi w:val="0"/>
        <w:spacing w:before="0" w:after="0" w:line="240" w:lineRule="auto"/>
        <w:ind w:left="0" w:right="0" w:firstLine="700"/>
        <w:jc w:val="both"/>
      </w:pPr>
      <w:r>
        <w:rPr>
          <w:rStyle w:val="CharStyle11"/>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11"/>
        </w:numPr>
        <w:shd w:val="clear" w:color="auto" w:fill="auto"/>
        <w:tabs>
          <w:tab w:pos="1100" w:val="left"/>
        </w:tabs>
        <w:bidi w:val="0"/>
        <w:spacing w:before="0" w:after="0" w:line="240" w:lineRule="auto"/>
        <w:ind w:left="0" w:right="0" w:firstLine="700"/>
        <w:jc w:val="both"/>
      </w:pPr>
      <w:r>
        <w:rPr>
          <w:rStyle w:val="CharStyle11"/>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11"/>
        </w:numPr>
        <w:shd w:val="clear" w:color="auto" w:fill="auto"/>
        <w:tabs>
          <w:tab w:pos="1100" w:val="left"/>
        </w:tabs>
        <w:bidi w:val="0"/>
        <w:spacing w:before="0" w:after="0" w:line="240" w:lineRule="auto"/>
        <w:ind w:left="0" w:right="0" w:firstLine="700"/>
        <w:jc w:val="both"/>
      </w:pPr>
      <w:r>
        <w:rPr>
          <w:rStyle w:val="CharStyle11"/>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numPr>
          <w:ilvl w:val="0"/>
          <w:numId w:val="9"/>
        </w:numPr>
        <w:shd w:val="clear" w:color="auto" w:fill="auto"/>
        <w:tabs>
          <w:tab w:pos="1100" w:val="left"/>
        </w:tabs>
        <w:bidi w:val="0"/>
        <w:spacing w:before="0" w:after="0" w:line="240" w:lineRule="auto"/>
        <w:ind w:left="0" w:right="0" w:firstLine="700"/>
        <w:jc w:val="both"/>
      </w:pPr>
      <w:r>
        <w:rPr>
          <w:rStyle w:val="CharStyle11"/>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описании объекта закупки должно содержаться обоснование необходимости использования других показателей, требований, условных обозначений и терминологии.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Комиссией Управления установлено, что Заказчиком в извещении определён код ОКПД2 закупаемых товаров, а именно </w:t>
      </w:r>
      <w:r>
        <w:rPr>
          <w:rStyle w:val="CharStyle11"/>
          <w:lang w:val="en-US" w:eastAsia="en-US"/>
        </w:rPr>
        <w:t xml:space="preserve">26.20.40.120, </w:t>
      </w:r>
      <w:r>
        <w:rPr>
          <w:rStyle w:val="CharStyle11"/>
        </w:rPr>
        <w:t>при этом, применение национально режима извещением не не установлено.</w:t>
      </w:r>
    </w:p>
    <w:p>
      <w:pPr>
        <w:pStyle w:val="Style10"/>
        <w:keepNext w:val="0"/>
        <w:keepLines w:val="0"/>
        <w:widowControl w:val="0"/>
        <w:shd w:val="clear" w:color="auto" w:fill="auto"/>
        <w:bidi w:val="0"/>
        <w:spacing w:before="0" w:after="0" w:line="295" w:lineRule="auto"/>
        <w:ind w:left="0" w:right="0" w:firstLine="700"/>
        <w:jc w:val="both"/>
        <w:rPr>
          <w:sz w:val="24"/>
          <w:szCs w:val="24"/>
        </w:rPr>
      </w:pPr>
      <w:r>
        <w:rPr>
          <w:rStyle w:val="CharStyle11"/>
        </w:rPr>
        <w:t xml:space="preserve">В силу ч.1 ст.106 Закона о контрактной системе лица, права и законные интересы которых непосредственно затрагиваются в результате рассмотрения </w:t>
      </w:r>
      <w:r>
        <w:rPr>
          <w:rStyle w:val="CharStyle11"/>
          <w:sz w:val="24"/>
          <w:szCs w:val="24"/>
          <w:lang w:val="en-US" w:eastAsia="en-US"/>
        </w:rPr>
        <w:t>2025-39732</w:t>
      </w:r>
    </w:p>
    <w:p>
      <w:pPr>
        <w:pStyle w:val="Style10"/>
        <w:keepNext w:val="0"/>
        <w:keepLines w:val="0"/>
        <w:widowControl w:val="0"/>
        <w:shd w:val="clear" w:color="auto" w:fill="auto"/>
        <w:bidi w:val="0"/>
        <w:spacing w:before="0" w:after="0" w:line="240" w:lineRule="auto"/>
        <w:ind w:left="0" w:right="0" w:firstLine="0"/>
        <w:jc w:val="both"/>
      </w:pPr>
      <w:r>
        <w:rPr>
          <w:rStyle w:val="CharStyle11"/>
        </w:rPr>
        <w:t>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На заседании Комиссии Управления представители Заказчика пояснили, что ввиду того, что Заказчиком приобретается расходные материалы к оборудованию в документации, к которому указана необходимость приобретения картриджей для работы на этом оборудовании Заказчик посчитал, что в данном случае применимо условие не применения ограничения предусмотренное пп. «б» п.6 Постановлением </w:t>
      </w:r>
      <w:r>
        <w:rPr>
          <w:rStyle w:val="CharStyle11"/>
          <w:lang w:val="en-US" w:eastAsia="en-US"/>
        </w:rPr>
        <w:t>№1875.</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Таким образом Заказчиком правомерно не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w:t>
      </w:r>
      <w:r>
        <w:rPr>
          <w:rStyle w:val="CharStyle11"/>
          <w:lang w:val="en-US" w:eastAsia="en-US"/>
        </w:rPr>
        <w:t>№ 1875.</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Вместе с этим, Комиссией Управления Комиссией Управления установлено что согласно описанию объекта закупки к поставке требуются в том числе совместимые картриджи, что априори делает невозможным применение исключения предусмотренного пп. «б» п.6 Постановлением </w:t>
      </w:r>
      <w:r>
        <w:rPr>
          <w:rStyle w:val="CharStyle11"/>
          <w:lang w:val="en-US" w:eastAsia="en-US"/>
        </w:rPr>
        <w:t>№1875.</w:t>
      </w:r>
    </w:p>
    <w:p>
      <w:pPr>
        <w:pStyle w:val="Style10"/>
        <w:keepNext w:val="0"/>
        <w:keepLines w:val="0"/>
        <w:widowControl w:val="0"/>
        <w:shd w:val="clear" w:color="auto" w:fill="auto"/>
        <w:bidi w:val="0"/>
        <w:spacing w:before="0" w:after="0" w:line="240" w:lineRule="auto"/>
        <w:ind w:left="0" w:right="0" w:firstLine="700"/>
        <w:jc w:val="both"/>
      </w:pPr>
      <w:r>
        <w:rPr>
          <w:rStyle w:val="CharStyle11"/>
        </w:rPr>
        <w:t>На основании вышеизложенного, Комиссия Управления приходит к выводу о нарушении Заказчиком ч.1 ст.14, п.15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10"/>
        <w:keepNext w:val="0"/>
        <w:keepLines w:val="0"/>
        <w:widowControl w:val="0"/>
        <w:numPr>
          <w:ilvl w:val="0"/>
          <w:numId w:val="9"/>
        </w:numPr>
        <w:shd w:val="clear" w:color="auto" w:fill="auto"/>
        <w:tabs>
          <w:tab w:pos="1033" w:val="left"/>
        </w:tabs>
        <w:bidi w:val="0"/>
        <w:spacing w:before="0" w:after="0" w:line="240" w:lineRule="auto"/>
        <w:ind w:left="0" w:right="0" w:firstLine="700"/>
        <w:jc w:val="both"/>
      </w:pPr>
      <w:r>
        <w:rPr>
          <w:rStyle w:val="CharStyle11"/>
        </w:rPr>
        <w:t xml:space="preserve">Также Заявитель указывает, что установление в требованиях к закупаемым товарам сведений о конкретной модели закупаемого товара не позволяет представить к поставке товары российского происхождения, например, по товарной позиции «Картридж для электрографических печатающих устройств», с идентификатором </w:t>
      </w:r>
      <w:r>
        <w:rPr>
          <w:rStyle w:val="CharStyle11"/>
          <w:lang w:val="en-US" w:eastAsia="en-US"/>
        </w:rPr>
        <w:t xml:space="preserve">189036074, </w:t>
      </w:r>
      <w:r>
        <w:rPr>
          <w:rStyle w:val="CharStyle11"/>
        </w:rPr>
        <w:t xml:space="preserve">установлено требование «Модель комплектующего изделия/ расходного материала: </w:t>
      </w:r>
      <w:r>
        <w:rPr>
          <w:rStyle w:val="CharStyle11"/>
          <w:lang w:val="en-US" w:eastAsia="en-US"/>
        </w:rPr>
        <w:t xml:space="preserve">TL-420H», </w:t>
      </w:r>
      <w:r>
        <w:rPr>
          <w:rStyle w:val="CharStyle11"/>
        </w:rPr>
        <w:t xml:space="preserve">при этом указание модели </w:t>
      </w:r>
      <w:r>
        <w:rPr>
          <w:rStyle w:val="CharStyle11"/>
          <w:lang w:val="en-US" w:eastAsia="en-US"/>
        </w:rPr>
        <w:t xml:space="preserve">«TL-420H» </w:t>
      </w:r>
      <w:r>
        <w:rPr>
          <w:rStyle w:val="CharStyle11"/>
        </w:rPr>
        <w:t xml:space="preserve">является обозначением оригинального картриджа производства компании </w:t>
      </w:r>
      <w:r>
        <w:rPr>
          <w:rStyle w:val="CharStyle11"/>
          <w:lang w:val="en-US" w:eastAsia="en-US"/>
        </w:rPr>
        <w:t>«Pantum».</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 силу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Комиссией Управления установлено, что в извещении об осуществлении закупки Заказчиком установлены требования к закупаемым товарам, так, например, по товарной позиции «Картридж для электрографических печатающих устройств», с идентификатором </w:t>
      </w:r>
      <w:r>
        <w:rPr>
          <w:rStyle w:val="CharStyle11"/>
          <w:lang w:val="en-US" w:eastAsia="en-US"/>
        </w:rPr>
        <w:t xml:space="preserve">189036074, </w:t>
      </w:r>
      <w:r>
        <w:rPr>
          <w:rStyle w:val="CharStyle11"/>
        </w:rPr>
        <w:t xml:space="preserve">Заказчиком установлено требование «Модель комплектующего изделия/ расходного материала: </w:t>
      </w:r>
      <w:r>
        <w:rPr>
          <w:rStyle w:val="CharStyle11"/>
          <w:lang w:val="en-US" w:eastAsia="en-US"/>
        </w:rPr>
        <w:t xml:space="preserve">TL-420H», </w:t>
      </w:r>
      <w:r>
        <w:rPr>
          <w:rStyle w:val="CharStyle11"/>
        </w:rPr>
        <w:t>а также в разделе «Инструкция по заполнению характеристики в заявке» указано: «Значение характеристики не может изменяться участником закупки».</w:t>
      </w:r>
    </w:p>
    <w:p>
      <w:pPr>
        <w:pStyle w:val="Style10"/>
        <w:keepNext w:val="0"/>
        <w:keepLines w:val="0"/>
        <w:widowControl w:val="0"/>
        <w:shd w:val="clear" w:color="auto" w:fill="auto"/>
        <w:bidi w:val="0"/>
        <w:spacing w:before="0" w:after="0" w:line="295" w:lineRule="auto"/>
        <w:ind w:left="0" w:right="0" w:firstLine="700"/>
        <w:jc w:val="both"/>
        <w:rPr>
          <w:sz w:val="24"/>
          <w:szCs w:val="24"/>
        </w:rPr>
        <w:sectPr>
          <w:headerReference w:type="default" r:id="rId17"/>
          <w:footerReference w:type="default" r:id="rId18"/>
          <w:footnotePr>
            <w:pos w:val="pageBottom"/>
            <w:numFmt w:val="decimal"/>
            <w:numRestart w:val="continuous"/>
          </w:footnotePr>
          <w:pgSz w:w="11900" w:h="16840"/>
          <w:pgMar w:top="1138" w:right="555" w:bottom="653" w:left="1103" w:header="0" w:footer="225" w:gutter="0"/>
          <w:cols w:space="720"/>
          <w:noEndnote/>
          <w:rtlGutter w:val="0"/>
          <w:docGrid w:linePitch="360"/>
        </w:sectPr>
      </w:pPr>
      <w:r>
        <w:rPr>
          <w:rStyle w:val="CharStyle11"/>
        </w:rPr>
        <w:t xml:space="preserve">Согласно ч.1.1 ст.33 Закона о контрактной системе при описании являющегося объектом закупки товара (в том числе поставляемого при выполнении </w:t>
      </w:r>
      <w:r>
        <w:rPr>
          <w:rStyle w:val="CharStyle11"/>
          <w:sz w:val="24"/>
          <w:szCs w:val="24"/>
          <w:lang w:val="en-US" w:eastAsia="en-US"/>
        </w:rPr>
        <w:t>2025-39732</w:t>
      </w:r>
    </w:p>
    <w:p>
      <w:pPr>
        <w:pStyle w:val="Style10"/>
        <w:keepNext w:val="0"/>
        <w:keepLines w:val="0"/>
        <w:widowControl w:val="0"/>
        <w:shd w:val="clear" w:color="auto" w:fill="auto"/>
        <w:bidi w:val="0"/>
        <w:spacing w:before="0" w:after="0" w:line="240" w:lineRule="auto"/>
        <w:ind w:left="0" w:right="0" w:firstLine="0"/>
        <w:jc w:val="both"/>
      </w:pPr>
      <w:r>
        <w:rPr>
          <w:rStyle w:val="CharStyle11"/>
        </w:rPr>
        <w:t>закупаемой работы, оказании закупаемой услуги), в отношении которого установлены предусмотренные п.1 ч.2 ст.14 Закона о контрактной системе запрет, ограничение или преимущество, указываются характеристики товара российского происхождения.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На заседании Комиссии Управления представители Заказчика пояснили, что вопреки доводам жалобы, указание в извещении об осуществлении закупки конкретной модели товара не ограничивает возможность представления к поставке товаров российского происхождения, так как модель указывает не на страну происхождения, а на определенные функциональные требования.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Вместе с этим, Комиссией Управления установлено, что описание объекта закупки сформировано Заказчиком противоречивым образом, поскольку для одних и тех же товаров установлены взаимоисключающие требования, а именно указание на конкретную модель комплектующего изделия/ расходного материала (по сути на каталожный номер) закупаемых товаров, что указывает на возможность поставки исключительно оригинальных картриджей иностранного производителя при одновременном указании на поставку совместимых, то есть не оригинальных картриджей, например: </w:t>
      </w:r>
      <w:r>
        <w:rPr>
          <w:rStyle w:val="CharStyle11"/>
          <w:i/>
          <w:iCs/>
        </w:rPr>
        <w:t xml:space="preserve">«Картридж для электрографических печатающих устройств; Идентификатор: </w:t>
      </w:r>
      <w:r>
        <w:rPr>
          <w:rStyle w:val="CharStyle11"/>
          <w:i/>
          <w:iCs/>
          <w:lang w:val="en-US" w:eastAsia="en-US"/>
        </w:rPr>
        <w:t xml:space="preserve">189036074» </w:t>
      </w:r>
      <w:r>
        <w:rPr>
          <w:rStyle w:val="CharStyle11"/>
          <w:i/>
          <w:iCs/>
        </w:rPr>
        <w:t xml:space="preserve">позиции КТРУ </w:t>
      </w:r>
      <w:r>
        <w:rPr>
          <w:rStyle w:val="CharStyle11"/>
          <w:i/>
          <w:iCs/>
          <w:lang w:val="en-US" w:eastAsia="en-US"/>
        </w:rPr>
        <w:t xml:space="preserve">20.59.12.120-00000002: </w:t>
      </w:r>
      <w:r>
        <w:rPr>
          <w:rStyle w:val="CharStyle11"/>
          <w:i/>
          <w:iCs/>
        </w:rPr>
        <w:t xml:space="preserve">«Вид комплектующего изделия/ расходного материала: Картридж для электрографических печатающих устройств; Модель комплектующего изделия/ расходного материала: </w:t>
      </w:r>
      <w:r>
        <w:rPr>
          <w:rStyle w:val="CharStyle11"/>
          <w:b/>
          <w:bCs/>
          <w:i/>
          <w:iCs/>
          <w:lang w:val="en-US" w:eastAsia="en-US"/>
        </w:rPr>
        <w:t>TL-420H</w:t>
      </w:r>
      <w:r>
        <w:rPr>
          <w:rStyle w:val="CharStyle11"/>
          <w:i/>
          <w:iCs/>
          <w:lang w:val="en-US" w:eastAsia="en-US"/>
        </w:rPr>
        <w:t xml:space="preserve">; </w:t>
      </w:r>
      <w:r>
        <w:rPr>
          <w:rStyle w:val="CharStyle11"/>
          <w:i/>
          <w:iCs/>
        </w:rPr>
        <w:t xml:space="preserve">товарный знак производителя оргтехники: </w:t>
      </w:r>
      <w:r>
        <w:rPr>
          <w:rStyle w:val="CharStyle11"/>
          <w:i/>
          <w:iCs/>
          <w:lang w:val="en-US" w:eastAsia="en-US"/>
        </w:rPr>
        <w:t xml:space="preserve">Pantum; </w:t>
      </w:r>
      <w:r>
        <w:rPr>
          <w:rStyle w:val="CharStyle11"/>
          <w:i/>
          <w:iCs/>
        </w:rPr>
        <w:t xml:space="preserve">Требование оригинальности комплектующего изделия/ расходного материала: </w:t>
      </w:r>
      <w:r>
        <w:rPr>
          <w:rStyle w:val="CharStyle11"/>
          <w:b/>
          <w:bCs/>
          <w:i/>
          <w:iCs/>
        </w:rPr>
        <w:t>Совместимый(ая)</w:t>
      </w:r>
      <w:r>
        <w:rPr>
          <w:rStyle w:val="CharStyle11"/>
          <w:i/>
          <w:iCs/>
        </w:rPr>
        <w:t>»</w:t>
      </w:r>
      <w:r>
        <w:rPr>
          <w:rStyle w:val="CharStyle11"/>
        </w:rPr>
        <w:t>.</w:t>
      </w:r>
    </w:p>
    <w:p>
      <w:pPr>
        <w:pStyle w:val="Style10"/>
        <w:keepNext w:val="0"/>
        <w:keepLines w:val="0"/>
        <w:widowControl w:val="0"/>
        <w:shd w:val="clear" w:color="auto" w:fill="auto"/>
        <w:bidi w:val="0"/>
        <w:spacing w:before="0" w:after="0" w:line="240" w:lineRule="auto"/>
        <w:ind w:left="0" w:right="0" w:firstLine="720"/>
        <w:jc w:val="both"/>
      </w:pPr>
      <w:r>
        <w:rPr>
          <w:rStyle w:val="CharStyle11"/>
        </w:rPr>
        <w:t>Исходя из ранее данных пояснений представителя Заказчика, Заказчиком допускается поставка совместимых картриджей, которые признаются эквивалентной продукцией. В свою очередь, согласно описанию объекта закупки Заказчик закупает картриджи, которые предполагают возможность использования таких изделий практически любого производителя. Вместе с тем, с учетом установленных требований к конкретным моделям расходных материалов, описание в данной части составлено таким образом, что позволяет предложить участнику исключительно иностранный товар конкретного производителя.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При описании требований подобным образом Комиссия Управления отмечает, что однозначным образом идентифицировать потребность Заказчика в закупаемых картриджах при описанных обстоятельствах не представляется возможным, поскольку, по сути, Заказчику в рамках одной позиции требуется одновременно оригинальный и не оригинальный картридж.</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Вследствие чего Комиссия Управления приходит к выводу о нарушении в действиях Заказчика п.1 ч.1, ч.1.1, ч.2 ст.33 Закона о контрактной системе при формировании описания объекта закупки, что содержит признаки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10"/>
        <w:keepNext w:val="0"/>
        <w:keepLines w:val="0"/>
        <w:widowControl w:val="0"/>
        <w:shd w:val="clear" w:color="auto" w:fill="auto"/>
        <w:bidi w:val="0"/>
        <w:spacing w:before="0" w:after="0" w:line="240" w:lineRule="auto"/>
        <w:ind w:left="0" w:right="0" w:firstLine="720"/>
        <w:jc w:val="both"/>
      </w:pPr>
      <w:r>
        <w:rPr>
          <w:rStyle w:val="CharStyle11"/>
        </w:rPr>
        <w:t>Исследовав представленные материалы, руководствуясь Законом о контрактной системе, Комиссия Управления</w:t>
      </w:r>
    </w:p>
    <w:p>
      <w:pPr>
        <w:pStyle w:val="Style10"/>
        <w:keepNext w:val="0"/>
        <w:keepLines w:val="0"/>
        <w:widowControl w:val="0"/>
        <w:shd w:val="clear" w:color="auto" w:fill="auto"/>
        <w:bidi w:val="0"/>
        <w:spacing w:before="0" w:after="280" w:line="240" w:lineRule="auto"/>
        <w:ind w:left="0" w:right="0" w:firstLine="0"/>
        <w:jc w:val="center"/>
      </w:pPr>
      <w:r>
        <w:rPr>
          <w:rStyle w:val="CharStyle11"/>
          <w:b/>
          <w:bCs/>
        </w:rPr>
        <w:t>Р Е Ш И Л А:</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1.Признать жалобу ООО «Печатное Мастерство» на действия ГБУЗ «ГП </w:t>
      </w:r>
      <w:r>
        <w:rPr>
          <w:rStyle w:val="CharStyle11"/>
          <w:lang w:val="en-US" w:eastAsia="en-US"/>
        </w:rPr>
        <w:t xml:space="preserve">№ 67 </w:t>
      </w:r>
      <w:r>
        <w:rPr>
          <w:rStyle w:val="CharStyle11"/>
        </w:rPr>
        <w:t>ДЗМ» обоснованной.</w:t>
      </w:r>
    </w:p>
    <w:p>
      <w:pPr>
        <w:pStyle w:val="Style10"/>
        <w:keepNext w:val="0"/>
        <w:keepLines w:val="0"/>
        <w:widowControl w:val="0"/>
        <w:shd w:val="clear" w:color="auto" w:fill="auto"/>
        <w:bidi w:val="0"/>
        <w:spacing w:before="0" w:after="0" w:line="240" w:lineRule="auto"/>
        <w:ind w:left="0" w:right="0" w:firstLine="640"/>
        <w:jc w:val="both"/>
      </w:pPr>
      <w:r>
        <w:rPr>
          <w:rStyle w:val="CharStyle11"/>
        </w:rPr>
        <w:t>2.Признать в действиях Заказчика нарушение ч.1 ст.14, п.1 ч.1, ч.1.1, ч.2 ст.33, п.15 ч.1 ст.42 Закона о контрактной системе.</w:t>
      </w:r>
    </w:p>
    <w:p>
      <w:pPr>
        <w:pStyle w:val="Style10"/>
        <w:keepNext w:val="0"/>
        <w:keepLines w:val="0"/>
        <w:widowControl w:val="0"/>
        <w:shd w:val="clear" w:color="auto" w:fill="auto"/>
        <w:bidi w:val="0"/>
        <w:spacing w:before="0" w:after="0" w:line="240" w:lineRule="auto"/>
        <w:ind w:left="0" w:right="0" w:firstLine="640"/>
        <w:jc w:val="both"/>
      </w:pPr>
      <w:r>
        <w:rPr>
          <w:rStyle w:val="CharStyle11"/>
        </w:rPr>
        <w:t>3.Выдать Заказчику обязательное для исполнения предписание об устранении нарушений законодательства о контрактной системе.</w:t>
      </w:r>
    </w:p>
    <w:p>
      <w:pPr>
        <w:pStyle w:val="Style10"/>
        <w:keepNext w:val="0"/>
        <w:keepLines w:val="0"/>
        <w:widowControl w:val="0"/>
        <w:shd w:val="clear" w:color="auto" w:fill="auto"/>
        <w:bidi w:val="0"/>
        <w:spacing w:before="0" w:after="280" w:line="240" w:lineRule="auto"/>
        <w:ind w:left="0" w:right="0" w:firstLine="640"/>
        <w:jc w:val="both"/>
      </w:pPr>
      <w:r>
        <w:rPr>
          <w:rStyle w:val="CharStyle11"/>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0"/>
        <w:keepNext w:val="0"/>
        <w:keepLines w:val="0"/>
        <w:widowControl w:val="0"/>
        <w:shd w:val="clear" w:color="auto" w:fill="auto"/>
        <w:bidi w:val="0"/>
        <w:spacing w:before="0" w:after="720" w:line="240" w:lineRule="auto"/>
        <w:ind w:left="0" w:right="0" w:firstLine="640"/>
        <w:jc w:val="both"/>
      </w:pPr>
      <w:r>
        <w:rPr>
          <w:rStyle w:val="CharStyle11"/>
        </w:rPr>
        <w:t xml:space="preserve">Решение может быть обжаловано в судебном порядке в Арбитражном суде г. Москвы в течение </w:t>
      </w:r>
      <w:r>
        <w:rPr>
          <w:rStyle w:val="CharStyle11"/>
          <w:lang w:val="en-US" w:eastAsia="en-US"/>
        </w:rPr>
        <w:t xml:space="preserve">3 </w:t>
      </w:r>
      <w:r>
        <w:rPr>
          <w:rStyle w:val="CharStyle11"/>
        </w:rPr>
        <w:t xml:space="preserve">(трех) месяцев с даты его принятия в порядке, установленным гл. </w:t>
      </w:r>
      <w:r>
        <w:rPr>
          <w:rStyle w:val="CharStyle11"/>
          <w:lang w:val="en-US" w:eastAsia="en-US"/>
        </w:rPr>
        <w:t xml:space="preserve">24 </w:t>
      </w:r>
      <w:r>
        <w:rPr>
          <w:rStyle w:val="CharStyle11"/>
        </w:rPr>
        <w:t>АПК РФ.</w:t>
      </w:r>
    </w:p>
    <w:tbl>
      <w:tblPr>
        <w:tblOverlap w:val="never"/>
        <w:jc w:val="center"/>
        <w:tblLayout w:type="fixed"/>
      </w:tblPr>
      <w:tblGrid>
        <w:gridCol w:w="3446"/>
        <w:gridCol w:w="3778"/>
        <w:gridCol w:w="2986"/>
      </w:tblGrid>
      <w:tr>
        <w:trPr>
          <w:trHeight w:val="1387" w:hRule="exact"/>
        </w:trPr>
        <w:tc>
          <w:tcPr>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Председательствующий</w:t>
            </w:r>
          </w:p>
        </w:tc>
        <w:tc>
          <w:tcPr>
            <w:tcBorders/>
            <w:shd w:val="clear" w:color="auto" w:fill="auto"/>
            <w:vAlign w:val="center"/>
          </w:tcPr>
          <w:p>
            <w:pPr>
              <w:pStyle w:val="Style16"/>
              <w:keepNext w:val="0"/>
              <w:keepLines w:val="0"/>
              <w:widowControl w:val="0"/>
              <w:shd w:val="clear" w:color="auto" w:fill="auto"/>
              <w:bidi w:val="0"/>
              <w:spacing w:before="0" w:after="140" w:line="240" w:lineRule="auto"/>
              <w:ind w:left="0" w:right="0" w:firstLine="560"/>
              <w:jc w:val="left"/>
            </w:pPr>
            <w:r>
              <w:rPr>
                <w:rStyle w:val="CharStyle17"/>
                <w:color w:val="868686"/>
              </w:rPr>
              <w:t>Моего для подписи:</w:t>
            </w:r>
          </w:p>
          <w:p>
            <w:pPr>
              <w:pStyle w:val="Style16"/>
              <w:keepNext w:val="0"/>
              <w:keepLines w:val="0"/>
              <w:widowControl w:val="0"/>
              <w:shd w:val="clear" w:color="auto" w:fill="auto"/>
              <w:bidi w:val="0"/>
              <w:spacing w:before="0" w:after="0" w:line="240" w:lineRule="auto"/>
              <w:ind w:left="0" w:right="0" w:firstLine="560"/>
              <w:jc w:val="left"/>
              <w:rPr>
                <w:sz w:val="24"/>
                <w:szCs w:val="24"/>
              </w:rPr>
            </w:pPr>
            <w:r>
              <w:rPr>
                <w:rStyle w:val="CharStyle17"/>
                <w:rFonts w:ascii="Arial" w:eastAsia="Arial" w:hAnsi="Arial" w:cs="Arial"/>
                <w:b/>
                <w:bCs/>
                <w:color w:val="868686"/>
                <w:sz w:val="24"/>
                <w:szCs w:val="24"/>
              </w:rPr>
              <w:t>Грешнева Д. С.</w:t>
            </w:r>
          </w:p>
        </w:tc>
        <w:tc>
          <w:tcPr>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right"/>
            </w:pPr>
            <w:r>
              <w:rPr>
                <w:rStyle w:val="CharStyle17"/>
              </w:rPr>
              <w:t>Д.С. Грешнева</w:t>
            </w:r>
          </w:p>
        </w:tc>
      </w:tr>
      <w:tr>
        <w:trPr>
          <w:trHeight w:val="1992" w:hRule="exact"/>
        </w:trPr>
        <w:tc>
          <w:tcPr>
            <w:tcBorders/>
            <w:shd w:val="clear" w:color="auto" w:fill="auto"/>
            <w:vAlign w:val="top"/>
          </w:tcPr>
          <w:p>
            <w:pPr>
              <w:pStyle w:val="Style16"/>
              <w:keepNext w:val="0"/>
              <w:keepLines w:val="0"/>
              <w:widowControl w:val="0"/>
              <w:shd w:val="clear" w:color="auto" w:fill="auto"/>
              <w:bidi w:val="0"/>
              <w:spacing w:before="160" w:after="0" w:line="240" w:lineRule="auto"/>
              <w:ind w:left="0" w:right="0" w:firstLine="0"/>
              <w:jc w:val="left"/>
            </w:pPr>
            <w:r>
              <w:rPr>
                <w:rStyle w:val="CharStyle17"/>
              </w:rPr>
              <w:t>Члены комиссии:</w:t>
            </w:r>
          </w:p>
        </w:tc>
        <w:tc>
          <w:tcPr>
            <w:tcBorders/>
            <w:shd w:val="clear" w:color="auto" w:fill="auto"/>
            <w:vAlign w:val="bottom"/>
          </w:tcPr>
          <w:p>
            <w:pPr>
              <w:pStyle w:val="Style16"/>
              <w:keepNext w:val="0"/>
              <w:keepLines w:val="0"/>
              <w:widowControl w:val="0"/>
              <w:shd w:val="clear" w:color="auto" w:fill="auto"/>
              <w:bidi w:val="0"/>
              <w:spacing w:before="0" w:after="140" w:line="240" w:lineRule="auto"/>
              <w:ind w:left="0" w:right="0" w:firstLine="560"/>
              <w:jc w:val="left"/>
            </w:pPr>
            <w:r>
              <w:rPr>
                <w:rStyle w:val="CharStyle17"/>
                <w:color w:val="868686"/>
              </w:rPr>
              <w:t>Моего для поди иен:</w:t>
            </w:r>
          </w:p>
          <w:p>
            <w:pPr>
              <w:pStyle w:val="Style16"/>
              <w:keepNext w:val="0"/>
              <w:keepLines w:val="0"/>
              <w:widowControl w:val="0"/>
              <w:shd w:val="clear" w:color="auto" w:fill="auto"/>
              <w:bidi w:val="0"/>
              <w:spacing w:before="0" w:after="0" w:line="240" w:lineRule="auto"/>
              <w:ind w:left="0" w:right="0" w:firstLine="560"/>
              <w:jc w:val="left"/>
              <w:rPr>
                <w:sz w:val="24"/>
                <w:szCs w:val="24"/>
              </w:rPr>
            </w:pPr>
            <w:r>
              <w:rPr>
                <w:rStyle w:val="CharStyle17"/>
                <w:rFonts w:ascii="Arial" w:eastAsia="Arial" w:hAnsi="Arial" w:cs="Arial"/>
                <w:b/>
                <w:bCs/>
                <w:color w:val="868686"/>
                <w:sz w:val="24"/>
                <w:szCs w:val="24"/>
              </w:rPr>
              <w:t>Мартьянова Е. Д.</w:t>
            </w:r>
          </w:p>
        </w:tc>
        <w:tc>
          <w:tcPr>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right"/>
            </w:pPr>
            <w:r>
              <w:rPr>
                <w:rStyle w:val="CharStyle17"/>
              </w:rPr>
              <w:t>Е.Д. Мартьянова</w:t>
            </w:r>
          </w:p>
        </w:tc>
      </w:tr>
      <w:tr>
        <w:trPr>
          <w:trHeight w:val="1378" w:hRule="exact"/>
        </w:trPr>
        <w:tc>
          <w:tcPr>
            <w:tcBorders/>
            <w:shd w:val="clear" w:color="auto" w:fill="auto"/>
            <w:vAlign w:val="top"/>
          </w:tcPr>
          <w:p>
            <w:pPr>
              <w:widowControl w:val="0"/>
              <w:rPr>
                <w:sz w:val="10"/>
                <w:szCs w:val="10"/>
              </w:rPr>
            </w:pPr>
          </w:p>
        </w:tc>
        <w:tc>
          <w:tcPr>
            <w:tcBorders/>
            <w:shd w:val="clear" w:color="auto" w:fill="auto"/>
            <w:vAlign w:val="bottom"/>
          </w:tcPr>
          <w:p>
            <w:pPr>
              <w:pStyle w:val="Style16"/>
              <w:keepNext w:val="0"/>
              <w:keepLines w:val="0"/>
              <w:widowControl w:val="0"/>
              <w:shd w:val="clear" w:color="auto" w:fill="auto"/>
              <w:bidi w:val="0"/>
              <w:spacing w:before="0" w:after="120" w:line="240" w:lineRule="auto"/>
              <w:ind w:left="0" w:right="0" w:firstLine="560"/>
              <w:jc w:val="left"/>
            </w:pPr>
            <w:r>
              <w:rPr>
                <w:rStyle w:val="CharStyle17"/>
                <w:color w:val="868686"/>
              </w:rPr>
              <w:t>Моего для подписи:</w:t>
            </w:r>
          </w:p>
          <w:p>
            <w:pPr>
              <w:pStyle w:val="Style16"/>
              <w:keepNext w:val="0"/>
              <w:keepLines w:val="0"/>
              <w:widowControl w:val="0"/>
              <w:shd w:val="clear" w:color="auto" w:fill="auto"/>
              <w:bidi w:val="0"/>
              <w:spacing w:before="0" w:after="0" w:line="240" w:lineRule="auto"/>
              <w:ind w:left="0" w:right="0" w:firstLine="560"/>
              <w:jc w:val="left"/>
              <w:rPr>
                <w:sz w:val="24"/>
                <w:szCs w:val="24"/>
              </w:rPr>
            </w:pPr>
            <w:r>
              <w:rPr>
                <w:rStyle w:val="CharStyle17"/>
                <w:rFonts w:ascii="Arial" w:eastAsia="Arial" w:hAnsi="Arial" w:cs="Arial"/>
                <w:b/>
                <w:bCs/>
                <w:color w:val="868686"/>
                <w:sz w:val="24"/>
                <w:szCs w:val="24"/>
              </w:rPr>
              <w:t>Рахматуллаев А. и.</w:t>
            </w:r>
          </w:p>
        </w:tc>
        <w:tc>
          <w:tcPr>
            <w:tcBorders/>
            <w:shd w:val="clear" w:color="auto" w:fill="auto"/>
            <w:vAlign w:val="top"/>
          </w:tcPr>
          <w:p>
            <w:pPr>
              <w:pStyle w:val="Style16"/>
              <w:keepNext w:val="0"/>
              <w:keepLines w:val="0"/>
              <w:widowControl w:val="0"/>
              <w:shd w:val="clear" w:color="auto" w:fill="auto"/>
              <w:bidi w:val="0"/>
              <w:spacing w:before="160" w:after="0" w:line="240" w:lineRule="auto"/>
              <w:ind w:left="0" w:right="0" w:firstLine="0"/>
              <w:jc w:val="right"/>
            </w:pPr>
            <w:r>
              <w:rPr>
                <w:rStyle w:val="CharStyle17"/>
              </w:rPr>
              <w:t>А.И. Рахматуллаев</w:t>
            </w:r>
          </w:p>
        </w:tc>
      </w:tr>
    </w:tbl>
    <w:p>
      <w:pPr>
        <w:widowControl w:val="0"/>
        <w:spacing w:after="2939" w:line="1" w:lineRule="exact"/>
      </w:pPr>
    </w:p>
    <w:p>
      <w:pPr>
        <w:pStyle w:val="Style20"/>
        <w:keepNext w:val="0"/>
        <w:keepLines w:val="0"/>
        <w:widowControl w:val="0"/>
        <w:shd w:val="clear" w:color="auto" w:fill="auto"/>
        <w:bidi w:val="0"/>
        <w:spacing w:before="0" w:line="240" w:lineRule="auto"/>
        <w:ind w:left="0" w:right="0" w:firstLine="0"/>
        <w:jc w:val="left"/>
      </w:pPr>
      <w:r>
        <w:rPr>
          <w:rStyle w:val="CharStyle21"/>
        </w:rPr>
        <w:t xml:space="preserve">Исп.Рахматуллаев А.И. тел.+7 </w:t>
      </w:r>
      <w:r>
        <w:rPr>
          <w:rStyle w:val="CharStyle21"/>
          <w:lang w:val="en-US" w:eastAsia="en-US"/>
        </w:rPr>
        <w:t>495 784 75 05</w:t>
      </w:r>
    </w:p>
    <w:sectPr>
      <w:headerReference w:type="default" r:id="rId19"/>
      <w:footerReference w:type="default" r:id="rId20"/>
      <w:footnotePr>
        <w:pos w:val="pageBottom"/>
        <w:numFmt w:val="decimal"/>
        <w:numRestart w:val="continuous"/>
      </w:footnotePr>
      <w:pgSz w:w="11900" w:h="16840"/>
      <w:pgMar w:top="1158" w:right="534" w:bottom="1436" w:left="108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734695" cy="121920"/>
              <wp:wrapNone/>
              <wp:docPr id="9" name="Shape 9"/>
              <a:graphic xmlns:a="http://schemas.openxmlformats.org/drawingml/2006/main">
                <a:graphicData uri="http://schemas.microsoft.com/office/word/2010/wordprocessingShape">
                  <wps:wsp>
                    <wps:cNvSpPr txBox="1"/>
                    <wps:spPr>
                      <a:xfrm>
                        <a:ext cx="734695" cy="12192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2025-39732</w:t>
                          </w:r>
                        </w:p>
                      </w:txbxContent>
                    </wps:txbx>
                    <wps:bodyPr wrap="none" lIns="0" tIns="0" rIns="0" bIns="0">
                      <a:spAutoFit/>
                    </wps:bodyPr>
                  </wps:wsp>
                </a:graphicData>
              </a:graphic>
            </wp:anchor>
          </w:drawing>
        </mc:Choice>
        <mc:Fallback>
          <w:pict>
            <v:shape id="_x0000_s1035" type="#_x0000_t202" style="position:absolute;margin-left:57.pt;margin-top:804.5pt;width:57.85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2025-39732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719455</wp:posOffset>
              </wp:positionH>
              <wp:positionV relativeFrom="page">
                <wp:posOffset>10092690</wp:posOffset>
              </wp:positionV>
              <wp:extent cx="722630" cy="103505"/>
              <wp:wrapNone/>
              <wp:docPr id="15" name="Shape 1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2025-39732</w:t>
                          </w:r>
                        </w:p>
                      </w:txbxContent>
                    </wps:txbx>
                    <wps:bodyPr wrap="none" lIns="0" tIns="0" rIns="0" bIns="0">
                      <a:spAutoFit/>
                    </wps:bodyPr>
                  </wps:wsp>
                </a:graphicData>
              </a:graphic>
            </wp:anchor>
          </w:drawing>
        </mc:Choice>
        <mc:Fallback>
          <w:pict>
            <v:shape id="_x0000_s1041" type="#_x0000_t202" style="position:absolute;margin-left:56.649999999999999pt;margin-top:794.70000000000005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2025-39732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719455</wp:posOffset>
              </wp:positionH>
              <wp:positionV relativeFrom="page">
                <wp:posOffset>10092690</wp:posOffset>
              </wp:positionV>
              <wp:extent cx="722630" cy="103505"/>
              <wp:wrapNone/>
              <wp:docPr id="21" name="Shape 2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2025-39732</w:t>
                          </w:r>
                        </w:p>
                      </w:txbxContent>
                    </wps:txbx>
                    <wps:bodyPr wrap="none" lIns="0" tIns="0" rIns="0" bIns="0">
                      <a:spAutoFit/>
                    </wps:bodyPr>
                  </wps:wsp>
                </a:graphicData>
              </a:graphic>
            </wp:anchor>
          </w:drawing>
        </mc:Choice>
        <mc:Fallback>
          <w:pict>
            <v:shape id="_x0000_s1047" type="#_x0000_t202" style="position:absolute;margin-left:56.649999999999999pt;margin-top:794.70000000000005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2025-39732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3926205</wp:posOffset>
              </wp:positionH>
              <wp:positionV relativeFrom="page">
                <wp:posOffset>288925</wp:posOffset>
              </wp:positionV>
              <wp:extent cx="76200" cy="69850"/>
              <wp:wrapNone/>
              <wp:docPr id="7" name="Shape 7"/>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9.15000000000003pt;margin-top:22.75pt;width:6.pt;height:5.5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3916680</wp:posOffset>
              </wp:positionH>
              <wp:positionV relativeFrom="page">
                <wp:posOffset>476250</wp:posOffset>
              </wp:positionV>
              <wp:extent cx="76200" cy="103505"/>
              <wp:wrapNone/>
              <wp:docPr id="13" name="Shape 13"/>
              <a:graphic xmlns:a="http://schemas.openxmlformats.org/drawingml/2006/main">
                <a:graphicData uri="http://schemas.microsoft.com/office/word/2010/wordprocessingShape">
                  <wps:wsp>
                    <wps:cNvSpPr txBox="1"/>
                    <wps:spPr>
                      <a:xfrm>
                        <a:ext cx="7620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8.40000000000003pt;margin-top:37.5pt;width:6.pt;height:8.15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3926205</wp:posOffset>
              </wp:positionH>
              <wp:positionV relativeFrom="page">
                <wp:posOffset>288925</wp:posOffset>
              </wp:positionV>
              <wp:extent cx="76200" cy="69850"/>
              <wp:wrapNone/>
              <wp:docPr id="17" name="Shape 17"/>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9.15000000000003pt;margin-top:22.75pt;width:6.pt;height:5.5pt;z-index:-18874405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3916680</wp:posOffset>
              </wp:positionH>
              <wp:positionV relativeFrom="page">
                <wp:posOffset>476250</wp:posOffset>
              </wp:positionV>
              <wp:extent cx="76200" cy="103505"/>
              <wp:wrapNone/>
              <wp:docPr id="19" name="Shape 19"/>
              <a:graphic xmlns:a="http://schemas.openxmlformats.org/drawingml/2006/main">
                <a:graphicData uri="http://schemas.microsoft.com/office/word/2010/wordprocessingShape">
                  <wps:wsp>
                    <wps:cNvSpPr txBox="1"/>
                    <wps:spPr>
                      <a:xfrm>
                        <a:ext cx="7620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8.40000000000003pt;margin-top:37.5pt;width:6.pt;height:8.1500000000000004pt;z-index:-18874405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Picture caption_"/>
    <w:basedOn w:val="DefaultParagraphFont"/>
    <w:link w:val="Style2"/>
    <w:rPr>
      <w:rFonts w:ascii="Times New Roman" w:eastAsia="Times New Roman" w:hAnsi="Times New Roman" w:cs="Times New Roman"/>
      <w:b w:val="0"/>
      <w:bCs w:val="0"/>
      <w:i w:val="0"/>
      <w:iCs w:val="0"/>
      <w:smallCaps w:val="0"/>
      <w:strike w:val="0"/>
      <w:color w:val="435FA4"/>
      <w:sz w:val="19"/>
      <w:szCs w:val="19"/>
      <w:u w:val="none"/>
    </w:rPr>
  </w:style>
  <w:style w:type="character" w:customStyle="1" w:styleId="CharStyle6">
    <w:name w:val="Body text (2)_"/>
    <w:basedOn w:val="DefaultParagraphFont"/>
    <w:link w:val="Style5"/>
    <w:rPr>
      <w:rFonts w:ascii="Times New Roman" w:eastAsia="Times New Roman" w:hAnsi="Times New Roman" w:cs="Times New Roman"/>
      <w:b/>
      <w:bCs/>
      <w:i w:val="0"/>
      <w:iCs w:val="0"/>
      <w:smallCaps w:val="0"/>
      <w:strike w:val="0"/>
      <w:color w:val="435FA4"/>
      <w:sz w:val="19"/>
      <w:szCs w:val="19"/>
      <w:u w:val="none"/>
    </w:rPr>
  </w:style>
  <w:style w:type="character" w:customStyle="1" w:styleId="CharStyle8">
    <w:name w:val="Header or footer (2)_"/>
    <w:basedOn w:val="DefaultParagraphFont"/>
    <w:link w:val="Style7"/>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Other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Body text (3)_"/>
    <w:basedOn w:val="DefaultParagraphFont"/>
    <w:link w:val="Style2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Picture caption"/>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35FA4"/>
      <w:sz w:val="19"/>
      <w:szCs w:val="19"/>
      <w:u w:val="none"/>
    </w:rPr>
  </w:style>
  <w:style w:type="paragraph" w:customStyle="1" w:styleId="Style5">
    <w:name w:val="Body text (2)"/>
    <w:basedOn w:val="Normal"/>
    <w:link w:val="CharStyle6"/>
    <w:pPr>
      <w:widowControl w:val="0"/>
      <w:shd w:val="clear" w:color="auto" w:fill="auto"/>
      <w:spacing w:after="110"/>
      <w:jc w:val="center"/>
    </w:pPr>
    <w:rPr>
      <w:rFonts w:ascii="Times New Roman" w:eastAsia="Times New Roman" w:hAnsi="Times New Roman" w:cs="Times New Roman"/>
      <w:b/>
      <w:bCs/>
      <w:i w:val="0"/>
      <w:iCs w:val="0"/>
      <w:smallCaps w:val="0"/>
      <w:strike w:val="0"/>
      <w:color w:val="435FA4"/>
      <w:sz w:val="19"/>
      <w:szCs w:val="19"/>
      <w:u w:val="none"/>
    </w:rPr>
  </w:style>
  <w:style w:type="paragraph" w:customStyle="1" w:styleId="Style7">
    <w:name w:val="Header or footer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Other"/>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Body text (3)"/>
    <w:basedOn w:val="Normal"/>
    <w:link w:val="CharStyle21"/>
    <w:pPr>
      <w:widowControl w:val="0"/>
      <w:shd w:val="clear" w:color="auto" w:fill="auto"/>
      <w:spacing w:after="5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png"/><Relationship Id="rId14" Type="http://schemas.openxmlformats.org/officeDocument/2006/relationships/image" Target="media/image3.png" TargetMode="Externa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header" Target="header5.xml"/><Relationship Id="rId20" Type="http://schemas.openxmlformats.org/officeDocument/2006/relationships/footer" Target="footer5.xml"/></Relationships>
</file>