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1779905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798195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01.09.2025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35119/25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850000000000001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01.09.2025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35119/25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1980" w:firstLine="0"/>
        <w:jc w:val="both"/>
      </w:pPr>
      <w:r>
        <w:rPr>
          <w:rStyle w:val="CharStyle7"/>
        </w:rPr>
        <w:t xml:space="preserve">ГКУ «ЦОДД» </w:t>
      </w:r>
      <w:r>
        <w:fldChar w:fldCharType="begin"/>
      </w:r>
      <w:r>
        <w:rPr/>
        <w:instrText> HYPERLINK "mailto:placing@transport.mos.ru" </w:instrText>
      </w:r>
      <w:r>
        <w:fldChar w:fldCharType="separate"/>
      </w:r>
      <w:r>
        <w:rPr>
          <w:rStyle w:val="CharStyle7"/>
          <w:lang w:val="en-US" w:eastAsia="en-US"/>
        </w:rPr>
        <w:t>placing@transport.mos.ru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1980" w:firstLine="0"/>
        <w:jc w:val="both"/>
      </w:pPr>
      <w:r>
        <w:rPr>
          <w:rStyle w:val="CharStyle7"/>
        </w:rPr>
        <w:t xml:space="preserve">ИП Богатый Е.В. </w:t>
      </w:r>
      <w:r>
        <w:fldChar w:fldCharType="begin"/>
      </w:r>
      <w:r>
        <w:rPr/>
        <w:instrText> HYPERLINK "mailto:pimenovaip@mail.ru" </w:instrText>
      </w:r>
      <w:r>
        <w:fldChar w:fldCharType="separate"/>
      </w:r>
      <w:r>
        <w:rPr>
          <w:rStyle w:val="CharStyle7"/>
          <w:lang w:val="en-US" w:eastAsia="en-US"/>
        </w:rPr>
        <w:t>pimenovaip@mail.ru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1980" w:firstLine="0"/>
        <w:jc w:val="both"/>
      </w:pPr>
      <w:r>
        <w:rPr>
          <w:rStyle w:val="CharStyle7"/>
        </w:rPr>
        <w:t>ГКУ «ДТЗ»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left="1140" w:right="0" w:firstLine="0"/>
        <w:jc w:val="both"/>
      </w:pPr>
      <w:r>
        <w:fldChar w:fldCharType="begin"/>
      </w:r>
      <w:r>
        <w:rPr/>
        <w:instrText> HYPERLINK "mailto:dtz-torgi@transport.mos.ru" </w:instrText>
      </w:r>
      <w:r>
        <w:fldChar w:fldCharType="separate"/>
      </w:r>
      <w:r>
        <w:rPr>
          <w:rStyle w:val="CharStyle7"/>
          <w:lang w:val="en-US" w:eastAsia="en-US"/>
        </w:rPr>
        <w:t>dtz-torgi@transport.mos.ru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3"/>
          <w:b/>
          <w:bCs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077/06/106-10725/2025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27.08.2025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ГКУ «ЦОДД»: И.В. Миловановой (дов. </w:t>
      </w:r>
      <w:r>
        <w:rPr>
          <w:rStyle w:val="CharStyle7"/>
          <w:lang w:val="en-US" w:eastAsia="en-US"/>
        </w:rPr>
        <w:t xml:space="preserve">№ 01-30-203/24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08.11.2024),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ГКУ «ДТЗ»: И.Г. Русановой (дов.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ДТЗ-04-01-01-52/24 от </w:t>
      </w:r>
      <w:r>
        <w:rPr>
          <w:rStyle w:val="CharStyle7"/>
          <w:lang w:val="en-US" w:eastAsia="en-US"/>
        </w:rPr>
        <w:t xml:space="preserve">25.12.2024), </w:t>
      </w:r>
      <w:r>
        <w:rPr>
          <w:rStyle w:val="CharStyle7"/>
        </w:rPr>
        <w:t xml:space="preserve">О.С. Гавриловой (дов.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ДТЗ-04-01-01-52/24 от </w:t>
      </w:r>
      <w:r>
        <w:rPr>
          <w:rStyle w:val="CharStyle7"/>
          <w:lang w:val="en-US" w:eastAsia="en-US"/>
        </w:rPr>
        <w:t>22.01.2025),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ИП Богатый Е.В. (лично),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20"/>
        <w:jc w:val="both"/>
      </w:pPr>
      <w:r>
        <w:rPr>
          <w:rStyle w:val="CharStyle7"/>
        </w:rPr>
        <w:t xml:space="preserve">рассмотрев жалобу ИП Богатый Е.В.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ГКУ «ЦОДД»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оказание услуг по мойке легковых автомобилей (Восток) (Закупка </w:t>
      </w:r>
      <w:r>
        <w:rPr>
          <w:rStyle w:val="CharStyle7"/>
          <w:lang w:val="en-US" w:eastAsia="en-US"/>
        </w:rPr>
        <w:t xml:space="preserve">№0373200082125000494)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rStyle w:val="CharStyle16"/>
        </w:rPr>
        <w:t>IIIIIIIIIIIIIIIIIIIIIIIIIII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силу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составе жалобы Заявитель указывает, что Заказчиком в описании объекта закупки установлены неправомерные требования,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приложении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к Техническому заданию: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по п. </w:t>
      </w:r>
      <w:r>
        <w:rPr>
          <w:rStyle w:val="CharStyle7"/>
          <w:lang w:val="en-US" w:eastAsia="en-US"/>
        </w:rPr>
        <w:t xml:space="preserve">1, 3 </w:t>
      </w:r>
      <w:r>
        <w:rPr>
          <w:rStyle w:val="CharStyle7"/>
        </w:rPr>
        <w:t xml:space="preserve">«Внутренняя мойка легкового транспортного средства»: </w:t>
      </w:r>
      <w:r>
        <w:rPr>
          <w:rStyle w:val="CharStyle7"/>
          <w:i/>
          <w:iCs/>
        </w:rPr>
        <w:t xml:space="preserve">«Максимальная удаленность мойки от места базирования транспортного средства: Равно </w:t>
      </w:r>
      <w:r>
        <w:rPr>
          <w:rStyle w:val="CharStyle7"/>
          <w:i/>
          <w:iCs/>
          <w:lang w:val="en-US" w:eastAsia="en-US"/>
        </w:rPr>
        <w:t xml:space="preserve">10 </w:t>
      </w:r>
      <w:r>
        <w:rPr>
          <w:rStyle w:val="CharStyle7"/>
          <w:i/>
          <w:iCs/>
        </w:rPr>
        <w:t>КМ; ТЫС М»</w:t>
      </w:r>
      <w:r>
        <w:rPr>
          <w:rStyle w:val="CharStyle7"/>
        </w:rPr>
        <w:t>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по п. </w:t>
      </w:r>
      <w:r>
        <w:rPr>
          <w:rStyle w:val="CharStyle7"/>
          <w:lang w:val="en-US" w:eastAsia="en-US"/>
        </w:rPr>
        <w:t xml:space="preserve">2, 4 </w:t>
      </w:r>
      <w:r>
        <w:rPr>
          <w:rStyle w:val="CharStyle7"/>
        </w:rPr>
        <w:t xml:space="preserve">«Наружная мойка легкового транспортного средства»: </w:t>
      </w:r>
      <w:r>
        <w:rPr>
          <w:rStyle w:val="CharStyle7"/>
          <w:i/>
          <w:iCs/>
        </w:rPr>
        <w:t xml:space="preserve">«Максимальная удаленность мойки от места базирования транспортного средства: Равно </w:t>
      </w:r>
      <w:r>
        <w:rPr>
          <w:rStyle w:val="CharStyle7"/>
          <w:i/>
          <w:iCs/>
          <w:lang w:val="en-US" w:eastAsia="en-US"/>
        </w:rPr>
        <w:t xml:space="preserve">10 </w:t>
      </w:r>
      <w:r>
        <w:rPr>
          <w:rStyle w:val="CharStyle7"/>
          <w:i/>
          <w:iCs/>
        </w:rPr>
        <w:t>КМ; ТЫС 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При этом, в приложении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к Техническому заданию: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Место базирования транспортных средств: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0" w:right="0" w:firstLine="72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263" w:right="529" w:bottom="716" w:left="108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  <w:i/>
          <w:iCs/>
        </w:rPr>
        <w:t xml:space="preserve">«Москва, шоссе Энтузиастов, д. </w:t>
      </w:r>
      <w:r>
        <w:rPr>
          <w:rStyle w:val="CharStyle7"/>
          <w:i/>
          <w:iCs/>
          <w:lang w:val="en-US" w:eastAsia="en-US"/>
        </w:rPr>
        <w:t xml:space="preserve">102 </w:t>
      </w:r>
      <w:r>
        <w:rPr>
          <w:rStyle w:val="CharStyle7"/>
          <w:i/>
          <w:iCs/>
        </w:rPr>
        <w:t xml:space="preserve">Москва, Волгоградский проспект, д. </w:t>
      </w:r>
      <w:r>
        <w:rPr>
          <w:rStyle w:val="CharStyle7"/>
          <w:i/>
          <w:iCs/>
          <w:lang w:val="en-US" w:eastAsia="en-US"/>
        </w:rPr>
        <w:t xml:space="preserve">180 </w:t>
      </w:r>
      <w:r>
        <w:rPr>
          <w:rStyle w:val="CharStyle7"/>
          <w:i/>
          <w:iCs/>
        </w:rPr>
        <w:t xml:space="preserve">А; Москва, ул. Золоторожский вал, вл.4; Москва, ул. А. Солженицына, д. </w:t>
      </w:r>
      <w:r>
        <w:rPr>
          <w:rStyle w:val="CharStyle7"/>
          <w:i/>
          <w:iCs/>
          <w:lang w:val="en-US" w:eastAsia="en-US"/>
        </w:rPr>
        <w:t xml:space="preserve">21, </w:t>
      </w:r>
      <w:r>
        <w:rPr>
          <w:rStyle w:val="CharStyle7"/>
          <w:i/>
          <w:iCs/>
        </w:rPr>
        <w:t xml:space="preserve">стр. </w:t>
      </w:r>
      <w:r>
        <w:rPr>
          <w:rStyle w:val="CharStyle7"/>
          <w:i/>
          <w:iCs/>
          <w:lang w:val="en-US" w:eastAsia="en-US"/>
        </w:rPr>
        <w:t xml:space="preserve">2; </w:t>
      </w:r>
      <w:r>
        <w:rPr>
          <w:rStyle w:val="CharStyle7"/>
          <w:sz w:val="24"/>
          <w:szCs w:val="24"/>
          <w:lang w:val="en-US" w:eastAsia="en-US"/>
        </w:rPr>
        <w:t>2025-39693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  <w:i/>
          <w:iCs/>
        </w:rPr>
        <w:t xml:space="preserve">Москва, ул. Старая Басманная,д. </w:t>
      </w:r>
      <w:r>
        <w:rPr>
          <w:rStyle w:val="CharStyle7"/>
          <w:i/>
          <w:iCs/>
          <w:lang w:val="en-US" w:eastAsia="en-US"/>
        </w:rPr>
        <w:t xml:space="preserve">20, </w:t>
      </w:r>
      <w:r>
        <w:rPr>
          <w:rStyle w:val="CharStyle7"/>
          <w:i/>
          <w:iCs/>
        </w:rPr>
        <w:t xml:space="preserve">корп.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Москва, </w:t>
      </w:r>
      <w:r>
        <w:rPr>
          <w:rStyle w:val="CharStyle7"/>
          <w:i/>
          <w:iCs/>
          <w:lang w:val="en-US" w:eastAsia="en-US"/>
        </w:rPr>
        <w:t xml:space="preserve">105 </w:t>
      </w:r>
      <w:r>
        <w:rPr>
          <w:rStyle w:val="CharStyle7"/>
          <w:i/>
          <w:iCs/>
        </w:rPr>
        <w:t xml:space="preserve">км МКАД, д. </w:t>
      </w:r>
      <w:r>
        <w:rPr>
          <w:rStyle w:val="CharStyle7"/>
          <w:i/>
          <w:iCs/>
          <w:lang w:val="en-US" w:eastAsia="en-US"/>
        </w:rPr>
        <w:t>4»</w:t>
      </w:r>
      <w:r>
        <w:rPr>
          <w:rStyle w:val="CharStyle7"/>
          <w:lang w:val="en-US" w:eastAsia="en-US"/>
        </w:rPr>
        <w:t>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Исполнитель обязан обеспечить определённое количество моек: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 территории СВАО города Москвы не менее </w:t>
      </w:r>
      <w:r>
        <w:rPr>
          <w:rStyle w:val="CharStyle7"/>
          <w:lang w:val="en-US" w:eastAsia="en-US"/>
        </w:rPr>
        <w:t xml:space="preserve">– 6 </w:t>
      </w:r>
      <w:r>
        <w:rPr>
          <w:rStyle w:val="CharStyle7"/>
        </w:rPr>
        <w:t>моек;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 территории ВАО города Москвы не менее </w:t>
      </w:r>
      <w:r>
        <w:rPr>
          <w:rStyle w:val="CharStyle7"/>
          <w:lang w:val="en-US" w:eastAsia="en-US"/>
        </w:rPr>
        <w:t xml:space="preserve">– 8 </w:t>
      </w:r>
      <w:r>
        <w:rPr>
          <w:rStyle w:val="CharStyle7"/>
        </w:rPr>
        <w:t>моек;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 территории Городского округа Люберцы Московской области не менее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мойки, что, по мнению Заявителя, ограничивает количество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представители Заказчика и уполномоченного учреждения не согласились с доводом жалобы, при этом пояснили, что оспариваемые требования установлены в соответствии с потребностью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Вместе с тем, представители Заказчика и уполномоченного учреждения отметили, что в соответствии с пп.«а» п.3.1 Проекта контракта: </w:t>
      </w:r>
      <w:r>
        <w:rPr>
          <w:rStyle w:val="CharStyle7"/>
          <w:i/>
          <w:iCs/>
        </w:rPr>
        <w:t>«Исполнитель вправе привлечь к исполнению контракта соисполнителей»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Кроме того, в составе возражений, представителями Заказчика и уполномоченного учреждения предоставлены следующие коммерческие предложения: ИП Палий Н.Н. №б/н от </w:t>
      </w:r>
      <w:r>
        <w:rPr>
          <w:rStyle w:val="CharStyle7"/>
          <w:lang w:val="en-US" w:eastAsia="en-US"/>
        </w:rPr>
        <w:t xml:space="preserve">19.06.2025; </w:t>
      </w:r>
      <w:r>
        <w:rPr>
          <w:rStyle w:val="CharStyle7"/>
        </w:rPr>
        <w:t xml:space="preserve">ООО «Фордекс Авто» №б/н от </w:t>
      </w:r>
      <w:r>
        <w:rPr>
          <w:rStyle w:val="CharStyle7"/>
          <w:lang w:val="en-US" w:eastAsia="en-US"/>
        </w:rPr>
        <w:t xml:space="preserve">19.06.2025; </w:t>
      </w:r>
      <w:r>
        <w:rPr>
          <w:rStyle w:val="CharStyle7"/>
        </w:rPr>
        <w:t xml:space="preserve">ООО «Юниверс» </w:t>
      </w:r>
      <w:r>
        <w:rPr>
          <w:rStyle w:val="CharStyle7"/>
          <w:lang w:val="en-US" w:eastAsia="en-US"/>
        </w:rPr>
        <w:t xml:space="preserve">№79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19.06.2025, </w:t>
      </w:r>
      <w:r>
        <w:rPr>
          <w:rStyle w:val="CharStyle7"/>
        </w:rPr>
        <w:t>в которых содержатся ценовые предложения на «Внутреннюю мойку легкового транспортного средства» и «Наружную мойку легкового транспортного средства».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тем Комиссия Управления отмечает, что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этим, на заседании Комиссии Управления, а также в составе жалобы Заявителем не представлено документов свидетельствующих о невозможности подачи заявки на участие в аукционе, об ограничении количества участников закупки, при установлении оспариваемых требований, равно как не представлено доказательств того обстоятельства, что Заказчиком в составе описания объекта закупки установлены неисполнимые требования.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Кроме того, Заявителем не представлено документов и сведений, подтверждающих обоснованность вышеуказанных доводов жалобы, в том числе в части невозможности подготовить заявку на участие в аукционе при установлении вышеуказанных требований, а также свидетельствующих о нарушении Заказчиком норм Закона о контрактной системе. Ввиду чего у Комиссии Управления отсутствуют правовые основания считать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изложенного, Комиссия Управления приходит к выводу о том, что вышеуказанные доводы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Признать жалобу ИП Богатый Е.В. на действия ГКУ «ЦОДД»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320"/>
        <w:ind w:left="0" w:right="0" w:firstLine="700"/>
        <w:jc w:val="both"/>
      </w:pPr>
      <w:r>
        <w:rPr>
          <w:rStyle w:val="CharStyle7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33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191770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11.pt;width:145.20000000000002pt;height:19.699999999999999pt;z-index:-125829372;mso-wrap-distance-left:0;mso-wrap-distance-top:11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7490" distB="0" distL="0" distR="1816735" simplePos="0" relativeHeight="125829383" behindDoc="0" locked="0" layoutInCell="1" allowOverlap="1">
            <wp:simplePos x="0" y="0"/>
            <wp:positionH relativeFrom="page">
              <wp:posOffset>2988310</wp:posOffset>
            </wp:positionH>
            <wp:positionV relativeFrom="paragraph">
              <wp:posOffset>237490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3378200</wp:posOffset>
                </wp:positionH>
                <wp:positionV relativeFrom="paragraph">
                  <wp:posOffset>298450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6.pt;margin-top:2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191770" distL="0" distR="0" simplePos="0" relativeHeight="125829384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139700</wp:posOffset>
                </wp:positionV>
                <wp:extent cx="113665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90000000000003pt;margin-top:11.pt;width:89.5pt;height:19.699999999999999pt;z-index:-125829369;mso-wrap-distance-left:0;mso-wrap-distance-top:11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3"/>
          <w:color w:val="FFFFFF"/>
          <w:sz w:val="12"/>
          <w:szCs w:val="12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  <w:color w:val="292929"/>
        </w:rPr>
        <w:t xml:space="preserve">Сертификат № </w:t>
      </w:r>
      <w:r>
        <w:rPr>
          <w:rStyle w:val="CharStyle26"/>
          <w:color w:val="5D5D5D"/>
        </w:rPr>
        <w:t>00831</w:t>
      </w:r>
      <w:r>
        <w:rPr>
          <w:rStyle w:val="CharStyle26"/>
          <w:lang w:val="en-US" w:eastAsia="en-US"/>
        </w:rPr>
        <w:t>B7545C61281C4BAB156778A683BFB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292929"/>
        </w:rPr>
        <w:t xml:space="preserve">17.07.2025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2957830</wp:posOffset>
            </wp:positionH>
            <wp:positionV relativeFrom="paragraph">
              <wp:posOffset>25400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3418205</wp:posOffset>
                </wp:positionH>
                <wp:positionV relativeFrom="paragraph">
                  <wp:posOffset>430530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9.14999999999998pt;margin-top:33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3378200</wp:posOffset>
                </wp:positionH>
                <wp:positionV relativeFrom="paragraph">
                  <wp:posOffset>113665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6.pt;margin-top:8.950000000000001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Мартьянова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Мартьянова Елена Дмитриевна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009EC19D0AD083DC593EE489E44F6A415</w:t>
      </w:r>
      <w:r>
        <w:rPr>
          <w:rStyle w:val="CharStyle26"/>
          <w:lang w:val="en-US" w:eastAsia="en-US"/>
        </w:rPr>
        <w:t>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21.01.2025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16.04.2026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86690" distB="0" distL="0" distR="0" simplePos="0" relativeHeight="125829387" behindDoc="0" locked="0" layoutInCell="1" allowOverlap="1">
                <wp:simplePos x="0" y="0"/>
                <wp:positionH relativeFrom="page">
                  <wp:posOffset>3378200</wp:posOffset>
                </wp:positionH>
                <wp:positionV relativeFrom="paragraph">
                  <wp:posOffset>186690</wp:posOffset>
                </wp:positionV>
                <wp:extent cx="1722120" cy="2590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6.pt;margin-top:14.700000000000001pt;width:135.59999999999999pt;height:20.400000000000002pt;z-index:-125829366;mso-wrap-distance-left:0;mso-wrap-distance-top:14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67640" distL="0" distR="0" simplePos="0" relativeHeight="125829389" behindDoc="0" locked="0" layoutInCell="1" allowOverlap="1">
                <wp:simplePos x="0" y="0"/>
                <wp:positionH relativeFrom="page">
                  <wp:posOffset>5767705</wp:posOffset>
                </wp:positionH>
                <wp:positionV relativeFrom="paragraph">
                  <wp:posOffset>25400</wp:posOffset>
                </wp:positionV>
                <wp:extent cx="144780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54.15000000000003pt;margin-top:2.pt;width:114.pt;height:19.900000000000002pt;z-index:-125829364;mso-wrap-distance-left:0;mso-wrap-distance-top: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А.И. Рахматуллаев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3"/>
          <w:color w:val="FFFFFF"/>
          <w:sz w:val="12"/>
          <w:szCs w:val="12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Рахматуллаев Алексей Ильич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7AEE97A08C8432425F146F6255A521C3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rStyle w:val="CharStyle26"/>
        </w:rPr>
        <w:t xml:space="preserve">Действителен с 12.11.2024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05.02.2026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31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3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10278110</wp:posOffset>
              </wp:positionV>
              <wp:extent cx="73469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2025-39693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149999999999999pt;margin-top:809.30000000000007pt;width:57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2025-39693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2025-39693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2025-39693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445770</wp:posOffset>
              </wp:positionV>
              <wp:extent cx="73025" cy="850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0000000000002pt;margin-top:35.100000000000001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40.100000000000001pt;width:6.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 (6)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1">
    <w:name w:val="Body text (5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 (6)"/>
    <w:basedOn w:val="Normal"/>
    <w:link w:val="CharStyle16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5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0">
    <w:name w:val="Body text (5)"/>
    <w:basedOn w:val="Normal"/>
    <w:link w:val="CharStyle31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