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555" w:bottom="655" w:left="111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38"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rStyle w:val="CharStyle10"/>
        </w:rPr>
        <w:t>01.09.2025</w:t>
        <w:tab/>
      </w:r>
      <w:r>
        <w:fldChar w:fldCharType="end"/>
      </w:r>
      <w:r>
        <w:rPr>
          <w:rStyle w:val="CharStyle10"/>
        </w:rPr>
        <w:t>№ 35078/25</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ИП Кравченко А.В. </w:t>
      </w:r>
      <w:r>
        <w:fldChar w:fldCharType="begin"/>
      </w:r>
      <w:r>
        <w:rPr/>
        <w:instrText> HYPERLINK "mailto:info@gosfarm.ru" </w:instrText>
      </w:r>
      <w:r>
        <w:fldChar w:fldCharType="separate"/>
      </w:r>
      <w:r>
        <w:rPr>
          <w:rStyle w:val="CharStyle12"/>
          <w:lang w:val="en-US" w:eastAsia="en-US"/>
        </w:rPr>
        <w:t>info@gosfarm.ru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АО«ЕЭТП» </w:t>
      </w:r>
      <w:r>
        <w:fldChar w:fldCharType="begin"/>
      </w:r>
      <w:r>
        <w:rPr/>
        <w:instrText> HYPERLINK "mailto:ko@roseltorg.ru" </w:instrText>
      </w:r>
      <w:r>
        <w:fldChar w:fldCharType="separate"/>
      </w:r>
      <w:r>
        <w:rPr>
          <w:rStyle w:val="CharStyle12"/>
          <w:lang w:val="en-US" w:eastAsia="en-US"/>
        </w:rPr>
        <w:t>ko@roseltorg.ru</w:t>
      </w:r>
      <w:r>
        <w:fldChar w:fldCharType="end"/>
      </w:r>
    </w:p>
    <w:p>
      <w:pPr>
        <w:pStyle w:val="Style11"/>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4" w:right="1732" w:bottom="708" w:left="1265" w:header="0" w:footer="3" w:gutter="0"/>
          <w:cols w:num="2" w:space="1295"/>
          <w:noEndnote/>
          <w:rtlGutter w:val="0"/>
          <w:docGrid w:linePitch="360"/>
        </w:sectPr>
      </w:pPr>
      <w:r>
        <w:rPr>
          <w:rStyle w:val="CharStyle12"/>
        </w:rPr>
        <w:t xml:space="preserve">ФГБУЗ КБ </w:t>
      </w:r>
      <w:r>
        <w:rPr>
          <w:rStyle w:val="CharStyle12"/>
          <w:lang w:val="en-US" w:eastAsia="en-US"/>
        </w:rPr>
        <w:t xml:space="preserve">№85 </w:t>
      </w:r>
      <w:r>
        <w:rPr>
          <w:rStyle w:val="CharStyle12"/>
        </w:rPr>
        <w:t xml:space="preserve">ФМБА России </w:t>
      </w:r>
      <w:r>
        <w:fldChar w:fldCharType="begin"/>
      </w:r>
      <w:r>
        <w:rPr/>
        <w:instrText> HYPERLINK "mailto:zakupki@kb85.ru" </w:instrText>
      </w:r>
      <w:r>
        <w:fldChar w:fldCharType="separate"/>
      </w:r>
      <w:r>
        <w:rPr>
          <w:rStyle w:val="CharStyle12"/>
          <w:lang w:val="en-US" w:eastAsia="en-US"/>
        </w:rPr>
        <w:t>zakupki@kb85.ru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7" w:after="3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34" w:right="0" w:bottom="1115"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393700</wp:posOffset>
                </wp:positionV>
                <wp:extent cx="1292225" cy="673735"/>
                <wp:wrapSquare wrapText="bothSides"/>
                <wp:docPr id="9" name="Shape 9"/>
                <a:graphic xmlns:a="http://schemas.openxmlformats.org/drawingml/2006/main">
                  <a:graphicData uri="http://schemas.microsoft.com/office/word/2010/wordprocessingShape">
                    <wps:wsp>
                      <wps:cNvSpPr txBox="1"/>
                      <wps:spPr>
                        <a:xfrm>
                          <a:ext cx="1292225" cy="6737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lang w:val="en-US" w:eastAsia="en-US"/>
                              </w:rPr>
                              <w:t>28.08.2025</w:t>
                            </w:r>
                          </w:p>
                          <w:p>
                            <w:pPr>
                              <w:pStyle w:val="Style11"/>
                              <w:keepNext w:val="0"/>
                              <w:keepLines w:val="0"/>
                              <w:widowControl w:val="0"/>
                              <w:shd w:val="clear" w:color="auto" w:fill="auto"/>
                              <w:bidi w:val="0"/>
                              <w:spacing w:before="0" w:after="0" w:line="240" w:lineRule="auto"/>
                              <w:ind w:left="0" w:right="0" w:firstLine="700"/>
                              <w:jc w:val="left"/>
                            </w:pPr>
                            <w:r>
                              <w:rPr>
                                <w:rStyle w:val="CharStyle12"/>
                              </w:rPr>
                              <w:t>Комиссия по г. Москве</w:t>
                            </w:r>
                          </w:p>
                        </w:txbxContent>
                      </wps:txbx>
                      <wps:bodyPr lIns="0" tIns="0" rIns="0" bIns="0">
                        <a:noAutoFit/>
                      </wps:bodyPr>
                    </wps:wsp>
                  </a:graphicData>
                </a:graphic>
              </wp:anchor>
            </w:drawing>
          </mc:Choice>
          <mc:Fallback>
            <w:pict>
              <v:shape id="_x0000_s1035" type="#_x0000_t202" style="position:absolute;margin-left:55.550000000000004pt;margin-top:31.pt;width:101.75pt;height:53.050000000000004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lang w:val="en-US" w:eastAsia="en-US"/>
                        </w:rPr>
                        <w:t>28.08.2025</w:t>
                      </w:r>
                    </w:p>
                    <w:p>
                      <w:pPr>
                        <w:pStyle w:val="Style11"/>
                        <w:keepNext w:val="0"/>
                        <w:keepLines w:val="0"/>
                        <w:widowControl w:val="0"/>
                        <w:shd w:val="clear" w:color="auto" w:fill="auto"/>
                        <w:bidi w:val="0"/>
                        <w:spacing w:before="0" w:after="0" w:line="240" w:lineRule="auto"/>
                        <w:ind w:left="0" w:right="0" w:firstLine="700"/>
                        <w:jc w:val="left"/>
                      </w:pPr>
                      <w:r>
                        <w:rPr>
                          <w:rStyle w:val="CharStyle12"/>
                        </w:rPr>
                        <w:t>Комиссия по г. Москве</w:t>
                      </w:r>
                    </w:p>
                  </w:txbxContent>
                </v:textbox>
                <w10:wrap type="square" anchorx="page"/>
              </v:shape>
            </w:pict>
          </mc:Fallback>
        </mc:AlternateContent>
      </w:r>
      <w:r>
        <w:rPr>
          <w:rStyle w:val="CharStyle12"/>
          <w:b/>
          <w:bCs/>
        </w:rPr>
        <w:t xml:space="preserve">по делу </w:t>
      </w:r>
      <w:r>
        <w:rPr>
          <w:rStyle w:val="CharStyle12"/>
          <w:b/>
          <w:bCs/>
          <w:lang w:val="en-US" w:eastAsia="en-US"/>
        </w:rPr>
        <w:t xml:space="preserve">№077/06/106-10652/2025 </w:t>
      </w:r>
      <w:r>
        <w:rPr>
          <w:rStyle w:val="CharStyle12"/>
          <w:b/>
          <w:bCs/>
        </w:rPr>
        <w:t>о нарушении</w:t>
        <w:br/>
        <w:t>законодательства о контрактной системе</w:t>
      </w:r>
    </w:p>
    <w:p>
      <w:pPr>
        <w:pStyle w:val="Style11"/>
        <w:keepNext w:val="0"/>
        <w:keepLines w:val="0"/>
        <w:widowControl w:val="0"/>
        <w:shd w:val="clear" w:color="auto" w:fill="auto"/>
        <w:bidi w:val="0"/>
        <w:spacing w:before="0" w:after="0" w:line="240" w:lineRule="auto"/>
        <w:ind w:left="0" w:right="0" w:firstLine="0"/>
        <w:jc w:val="right"/>
      </w:pP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0"/>
        <w:jc w:val="right"/>
      </w:pPr>
      <w:r>
        <w:rPr>
          <w:rStyle w:val="CharStyle12"/>
        </w:rPr>
        <w:t>Управления Федеральной антимонопольной службы по контролю в сфере закупок товаров, работ, услуг</w:t>
      </w:r>
    </w:p>
    <w:p>
      <w:pPr>
        <w:pStyle w:val="Style11"/>
        <w:keepNext w:val="0"/>
        <w:keepLines w:val="0"/>
        <w:widowControl w:val="0"/>
        <w:shd w:val="clear" w:color="auto" w:fill="auto"/>
        <w:bidi w:val="0"/>
        <w:spacing w:before="0" w:after="0" w:line="240" w:lineRule="auto"/>
        <w:ind w:left="0" w:right="0" w:firstLine="0"/>
        <w:jc w:val="left"/>
      </w:pPr>
      <w:r>
        <w:rPr>
          <w:rStyle w:val="CharStyle12"/>
        </w:rPr>
        <w:t xml:space="preserve">(далее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Председательствующего: 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Члены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Главного специалиста-эксперта отдела обжалования государственных закупок А.А. Матюшенко,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О.А. Челновой,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w:t>
        <w:softHyphen/>
        <w:t>конференц-связи),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ФГБУЗ КБ </w:t>
      </w:r>
      <w:r>
        <w:rPr>
          <w:rStyle w:val="CharStyle12"/>
          <w:lang w:val="en-US" w:eastAsia="en-US"/>
        </w:rPr>
        <w:t xml:space="preserve">№ 85 </w:t>
      </w:r>
      <w:r>
        <w:rPr>
          <w:rStyle w:val="CharStyle12"/>
        </w:rPr>
        <w:t xml:space="preserve">ФМБА России: Л.Н. Кулысовой (по дов. </w:t>
      </w:r>
      <w:r>
        <w:rPr>
          <w:rStyle w:val="CharStyle12"/>
          <w:lang w:val="en-US" w:eastAsia="en-US"/>
        </w:rPr>
        <w:t xml:space="preserve">№44 </w:t>
      </w:r>
      <w:r>
        <w:rPr>
          <w:rStyle w:val="CharStyle12"/>
        </w:rPr>
        <w:t xml:space="preserve">от </w:t>
      </w:r>
      <w:r>
        <w:rPr>
          <w:rStyle w:val="CharStyle12"/>
          <w:lang w:val="en-US" w:eastAsia="en-US"/>
        </w:rPr>
        <w:t>11.08.2025),</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непосредственном участии ИП Кравченко А.В. (присутствующего до объявления перерыва при рассмотрении жалобы)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рассмотрев жалобу ИП Кравченко А.В. (далее </w:t>
      </w:r>
      <w:r>
        <w:rPr>
          <w:rStyle w:val="CharStyle12"/>
          <w:lang w:val="en-US" w:eastAsia="en-US"/>
        </w:rPr>
        <w:t xml:space="preserve">- </w:t>
      </w:r>
      <w:r>
        <w:rPr>
          <w:rStyle w:val="CharStyle12"/>
        </w:rPr>
        <w:t xml:space="preserve">Заявитель) на действия ФГБУЗ КБ </w:t>
      </w:r>
      <w:r>
        <w:rPr>
          <w:rStyle w:val="CharStyle12"/>
          <w:lang w:val="en-US" w:eastAsia="en-US"/>
        </w:rPr>
        <w:t xml:space="preserve">№ 85 </w:t>
      </w:r>
      <w:r>
        <w:rPr>
          <w:rStyle w:val="CharStyle12"/>
        </w:rPr>
        <w:t xml:space="preserve">ФМБА России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поставку системы ультразвуковой визуализации ручной, для поверхности тела (Закупка </w:t>
      </w:r>
      <w:r>
        <w:rPr>
          <w:rStyle w:val="CharStyle12"/>
          <w:lang w:val="en-US" w:eastAsia="en-US"/>
        </w:rPr>
        <w:t xml:space="preserve">№0373100087125000324) </w:t>
      </w:r>
      <w:r>
        <w:rPr>
          <w:rStyle w:val="CharStyle12"/>
        </w:rPr>
        <w:t xml:space="preserve">(далее </w:t>
      </w:r>
      <w:r>
        <w:rPr>
          <w:rStyle w:val="CharStyle12"/>
          <w:lang w:val="en-US" w:eastAsia="en-US"/>
        </w:rPr>
        <w:t xml:space="preserve">— </w:t>
      </w:r>
      <w:r>
        <w:rPr>
          <w:rStyle w:val="CharStyle12"/>
        </w:rPr>
        <w:t xml:space="preserve">электронный аукцион, аукцион), в соответствии с Федеральным 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widowControl w:val="0"/>
        <w:spacing w:after="736" w:line="1" w:lineRule="exact"/>
      </w:pPr>
      <w:r>
        <w:drawing>
          <wp:anchor distT="0" distB="0" distL="0" distR="0" simplePos="0" relativeHeight="62914697" behindDoc="1" locked="0" layoutInCell="1" allowOverlap="1">
            <wp:simplePos x="0" y="0"/>
            <wp:positionH relativeFrom="page">
              <wp:posOffset>717550</wp:posOffset>
            </wp:positionH>
            <wp:positionV relativeFrom="paragraph">
              <wp:posOffset>177800</wp:posOffset>
            </wp:positionV>
            <wp:extent cx="1511935" cy="292735"/>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Московское УФАС России поступила жалоба Заявителя на действия Заказчика при проведении вышеуказанного электронного аукциона.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На заседании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numPr>
          <w:ilvl w:val="0"/>
          <w:numId w:val="1"/>
        </w:numPr>
        <w:shd w:val="clear" w:color="auto" w:fill="auto"/>
        <w:tabs>
          <w:tab w:pos="1421" w:val="left"/>
        </w:tabs>
        <w:bidi w:val="0"/>
        <w:spacing w:before="0" w:after="0" w:line="240" w:lineRule="auto"/>
        <w:ind w:left="0" w:right="0" w:firstLine="720"/>
        <w:jc w:val="both"/>
      </w:pPr>
      <w:r>
        <w:rPr>
          <w:rStyle w:val="CharStyle12"/>
        </w:rPr>
        <w:t xml:space="preserve">По мнению заявителя в отношении закупаемого товара Заказчиком неверно выбрана позиция Каталога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КТРУ) </w:t>
      </w:r>
      <w:r>
        <w:rPr>
          <w:rStyle w:val="CharStyle12"/>
          <w:lang w:val="en-US" w:eastAsia="en-US"/>
        </w:rPr>
        <w:t xml:space="preserve">26.60.12.132-00000041 </w:t>
      </w:r>
      <w:r>
        <w:rPr>
          <w:rStyle w:val="CharStyle12"/>
        </w:rPr>
        <w:t xml:space="preserve">при описании объекта закупки, вместо позиции КТРУ </w:t>
      </w:r>
      <w:r>
        <w:rPr>
          <w:rStyle w:val="CharStyle12"/>
          <w:lang w:val="en-US" w:eastAsia="en-US"/>
        </w:rPr>
        <w:t xml:space="preserve">26.60.12.132-00000036, </w:t>
      </w:r>
      <w:r>
        <w:rPr>
          <w:rStyle w:val="CharStyle12"/>
        </w:rPr>
        <w:t>что повлекло за собой также установление дополнительных требований к закупаемому товару, не предусмотренных позициями КТРУ.</w:t>
      </w:r>
    </w:p>
    <w:p>
      <w:pPr>
        <w:pStyle w:val="Style11"/>
        <w:keepNext w:val="0"/>
        <w:keepLines w:val="0"/>
        <w:widowControl w:val="0"/>
        <w:shd w:val="clear" w:color="auto" w:fill="auto"/>
        <w:bidi w:val="0"/>
        <w:spacing w:before="0" w:after="0" w:line="240" w:lineRule="auto"/>
        <w:ind w:left="0" w:right="0" w:firstLine="720"/>
        <w:jc w:val="both"/>
      </w:pPr>
      <w:r>
        <w:rPr>
          <w:rStyle w:val="CharStyle12"/>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соответствии с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11"/>
        <w:keepNext w:val="0"/>
        <w:keepLines w:val="0"/>
        <w:widowControl w:val="0"/>
        <w:numPr>
          <w:ilvl w:val="0"/>
          <w:numId w:val="3"/>
        </w:numPr>
        <w:shd w:val="clear" w:color="auto" w:fill="auto"/>
        <w:tabs>
          <w:tab w:pos="1459" w:val="left"/>
        </w:tabs>
        <w:bidi w:val="0"/>
        <w:spacing w:before="0" w:after="0" w:line="240" w:lineRule="auto"/>
        <w:ind w:left="0" w:right="0" w:firstLine="720"/>
        <w:jc w:val="both"/>
      </w:pPr>
      <w:r>
        <w:rPr>
          <w:rStyle w:val="CharStyle12"/>
        </w:rPr>
        <w:t>извещении об осуществлении закупки;</w:t>
      </w:r>
    </w:p>
    <w:p>
      <w:pPr>
        <w:pStyle w:val="Style11"/>
        <w:keepNext w:val="0"/>
        <w:keepLines w:val="0"/>
        <w:widowControl w:val="0"/>
        <w:numPr>
          <w:ilvl w:val="0"/>
          <w:numId w:val="3"/>
        </w:numPr>
        <w:shd w:val="clear" w:color="auto" w:fill="auto"/>
        <w:tabs>
          <w:tab w:pos="1416" w:val="left"/>
        </w:tabs>
        <w:bidi w:val="0"/>
        <w:spacing w:before="0" w:after="0" w:line="240" w:lineRule="auto"/>
        <w:ind w:left="0" w:right="0" w:firstLine="720"/>
        <w:jc w:val="both"/>
      </w:pPr>
      <w:r>
        <w:rPr>
          <w:rStyle w:val="CharStyle12"/>
        </w:rPr>
        <w:t xml:space="preserve">приглашении принять участие в определении поставщика (подрядчика, исполнителя) (далее </w:t>
      </w:r>
      <w:r>
        <w:rPr>
          <w:rStyle w:val="CharStyle12"/>
          <w:lang w:val="en-US" w:eastAsia="en-US"/>
        </w:rPr>
        <w:t xml:space="preserve">— </w:t>
      </w:r>
      <w:r>
        <w:rPr>
          <w:rStyle w:val="CharStyle12"/>
        </w:rPr>
        <w:t>приглашение);</w:t>
      </w:r>
    </w:p>
    <w:p>
      <w:pPr>
        <w:pStyle w:val="Style11"/>
        <w:keepNext w:val="0"/>
        <w:keepLines w:val="0"/>
        <w:widowControl w:val="0"/>
        <w:numPr>
          <w:ilvl w:val="0"/>
          <w:numId w:val="3"/>
        </w:numPr>
        <w:shd w:val="clear" w:color="auto" w:fill="auto"/>
        <w:tabs>
          <w:tab w:pos="1416" w:val="left"/>
        </w:tabs>
        <w:bidi w:val="0"/>
        <w:spacing w:before="0" w:after="0" w:line="240" w:lineRule="auto"/>
        <w:ind w:left="0" w:right="0" w:firstLine="720"/>
        <w:jc w:val="both"/>
      </w:pPr>
      <w:r>
        <w:rPr>
          <w:rStyle w:val="CharStyle12"/>
        </w:rPr>
        <w:t>документации о закупке (в случае если Федеральным законом предусмотрена документация о закупке);</w:t>
      </w:r>
    </w:p>
    <w:p>
      <w:pPr>
        <w:pStyle w:val="Style11"/>
        <w:keepNext w:val="0"/>
        <w:keepLines w:val="0"/>
        <w:widowControl w:val="0"/>
        <w:numPr>
          <w:ilvl w:val="0"/>
          <w:numId w:val="3"/>
        </w:numPr>
        <w:shd w:val="clear" w:color="auto" w:fill="auto"/>
        <w:tabs>
          <w:tab w:pos="1459" w:val="left"/>
        </w:tabs>
        <w:bidi w:val="0"/>
        <w:spacing w:before="0" w:after="0" w:line="240" w:lineRule="auto"/>
        <w:ind w:left="0" w:right="0" w:firstLine="720"/>
        <w:jc w:val="both"/>
      </w:pPr>
      <w:r>
        <w:rPr>
          <w:rStyle w:val="CharStyle12"/>
        </w:rPr>
        <w:t>контракте;</w:t>
      </w:r>
    </w:p>
    <w:p>
      <w:pPr>
        <w:pStyle w:val="Style11"/>
        <w:keepNext w:val="0"/>
        <w:keepLines w:val="0"/>
        <w:widowControl w:val="0"/>
        <w:numPr>
          <w:ilvl w:val="0"/>
          <w:numId w:val="3"/>
        </w:numPr>
        <w:shd w:val="clear" w:color="auto" w:fill="auto"/>
        <w:tabs>
          <w:tab w:pos="1459" w:val="left"/>
        </w:tabs>
        <w:bidi w:val="0"/>
        <w:spacing w:before="0" w:after="0" w:line="240" w:lineRule="auto"/>
        <w:ind w:left="0" w:right="0" w:firstLine="720"/>
        <w:jc w:val="both"/>
      </w:pPr>
      <w:r>
        <w:rPr>
          <w:rStyle w:val="CharStyle12"/>
        </w:rPr>
        <w:t>реестре контрактов, заключенных заказчиками.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На основании п.4 Правил использования КТРУ Заказчики обязаны применять информацию, включенную в позицию каталога в соответствии с подпунктами «а» </w:t>
      </w:r>
      <w:r>
        <w:rPr>
          <w:rStyle w:val="CharStyle12"/>
          <w:lang w:val="en-US" w:eastAsia="en-US"/>
        </w:rPr>
        <w:t xml:space="preserve">- </w:t>
      </w:r>
      <w:r>
        <w:rPr>
          <w:rStyle w:val="CharStyle12"/>
        </w:rPr>
        <w:t xml:space="preserve">«г» и «е» </w:t>
      </w:r>
      <w:r>
        <w:rPr>
          <w:rStyle w:val="CharStyle12"/>
          <w:lang w:val="en-US" w:eastAsia="en-US"/>
        </w:rPr>
        <w:t xml:space="preserve">- </w:t>
      </w:r>
      <w:r>
        <w:rPr>
          <w:rStyle w:val="CharStyle12"/>
        </w:rPr>
        <w:t>«з» п.10 Правил формирования КТРУ.</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w:t>
      </w:r>
      <w:r>
        <w:rPr>
          <w:rStyle w:val="CharStyle12"/>
          <w:lang w:val="en-US" w:eastAsia="en-US"/>
        </w:rPr>
        <w:t xml:space="preserve">33 </w:t>
      </w:r>
      <w:r>
        <w:rPr>
          <w:rStyle w:val="CharStyle12"/>
        </w:rPr>
        <w:t>Закона о контрактной системе, которые не предусмотрены в позиции каталога.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соответствии с п.6 Правил использования КТРУ в случае предоставления иной и дополнительной информации, предусмотренной п. </w:t>
      </w:r>
      <w:r>
        <w:rPr>
          <w:rStyle w:val="CharStyle12"/>
          <w:lang w:val="en-US" w:eastAsia="en-US"/>
        </w:rPr>
        <w:t xml:space="preserve">5 </w:t>
      </w:r>
      <w:r>
        <w:rPr>
          <w:rStyle w:val="CharStyle12"/>
        </w:rPr>
        <w:t>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Из смысла положений п.7 Правил использования КТРУ следует,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w:t>
      </w:r>
      <w:r>
        <w:rPr>
          <w:rStyle w:val="CharStyle12"/>
          <w:lang w:val="en-US" w:eastAsia="en-US"/>
        </w:rPr>
        <w:t xml:space="preserve">33 </w:t>
      </w:r>
      <w:r>
        <w:rPr>
          <w:rStyle w:val="CharStyle12"/>
        </w:rPr>
        <w:t>Закона о контрактной системе. При проведении предусмотренных Законом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Комиссией Управления установлено, что в составе структурированной формы извещения, сформированной с использованием Единой информационной системы (далее </w:t>
      </w:r>
      <w:r>
        <w:rPr>
          <w:rStyle w:val="CharStyle12"/>
          <w:lang w:val="en-US" w:eastAsia="en-US"/>
        </w:rPr>
        <w:t xml:space="preserve">— </w:t>
      </w:r>
      <w:r>
        <w:rPr>
          <w:rStyle w:val="CharStyle12"/>
        </w:rPr>
        <w:t>ЕИС), Заказчиком установлены требования к характеристикам необходимых к поставке товаров по п.1-2 «Система ультразвуковой визуализации</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ручная, для поверхности тела» с применением позиции КТРУ </w:t>
      </w:r>
      <w:r>
        <w:rPr>
          <w:rStyle w:val="CharStyle12"/>
          <w:lang w:val="en-US" w:eastAsia="en-US"/>
        </w:rPr>
        <w:t>26.60.12.132</w:t>
        <w:softHyphen/>
        <w:t xml:space="preserve">00000041, </w:t>
      </w:r>
      <w:r>
        <w:rPr>
          <w:rStyle w:val="CharStyle12"/>
        </w:rPr>
        <w:t>а также установлены следующие требования, в частности:</w:t>
      </w:r>
    </w:p>
    <w:p>
      <w:pPr>
        <w:pStyle w:val="Style11"/>
        <w:keepNext w:val="0"/>
        <w:keepLines w:val="0"/>
        <w:widowControl w:val="0"/>
        <w:numPr>
          <w:ilvl w:val="0"/>
          <w:numId w:val="3"/>
        </w:numPr>
        <w:shd w:val="clear" w:color="auto" w:fill="auto"/>
        <w:tabs>
          <w:tab w:pos="1080" w:val="left"/>
        </w:tabs>
        <w:bidi w:val="0"/>
        <w:spacing w:before="0" w:after="0" w:line="240" w:lineRule="auto"/>
        <w:ind w:left="0" w:right="0" w:firstLine="700"/>
        <w:jc w:val="both"/>
      </w:pPr>
      <w:r>
        <w:rPr>
          <w:rStyle w:val="CharStyle12"/>
        </w:rPr>
        <w:t xml:space="preserve">по п.1 </w:t>
      </w:r>
      <w:r>
        <w:rPr>
          <w:rStyle w:val="CharStyle12"/>
          <w:i/>
          <w:iCs/>
        </w:rPr>
        <w:t>«Конструктивное исполнение: Планшет», «Возможность беспроводного подключения: Да», «Возможность использования вне лечебно</w:t>
        <w:softHyphen/>
        <w:t>профилактического учреждения: Да»,</w:t>
      </w:r>
    </w:p>
    <w:p>
      <w:pPr>
        <w:pStyle w:val="Style11"/>
        <w:keepNext w:val="0"/>
        <w:keepLines w:val="0"/>
        <w:widowControl w:val="0"/>
        <w:numPr>
          <w:ilvl w:val="0"/>
          <w:numId w:val="3"/>
        </w:numPr>
        <w:shd w:val="clear" w:color="auto" w:fill="auto"/>
        <w:tabs>
          <w:tab w:pos="1080" w:val="left"/>
        </w:tabs>
        <w:bidi w:val="0"/>
        <w:spacing w:before="0" w:after="0" w:line="240" w:lineRule="auto"/>
        <w:ind w:left="0" w:right="0" w:firstLine="700"/>
        <w:jc w:val="both"/>
      </w:pPr>
      <w:r>
        <w:rPr>
          <w:rStyle w:val="CharStyle12"/>
        </w:rPr>
        <w:t xml:space="preserve">по п.2 </w:t>
      </w:r>
      <w:r>
        <w:rPr>
          <w:rStyle w:val="CharStyle12"/>
          <w:i/>
          <w:iCs/>
        </w:rPr>
        <w:t>«Конструктивное исполнение: Лаптоп», «Возможность использования вне лечебно-профилактического учреждения: Да».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На заседании Комиссии Управления представитель Заказчика, не согласившись с доводом жалобы, пояснил, что Заказчиком при формировании описания объекта закупки были проанализированы характеристики оборудования, содержащиеся в позиции КТРУ </w:t>
      </w:r>
      <w:r>
        <w:rPr>
          <w:rStyle w:val="CharStyle12"/>
          <w:lang w:val="en-US" w:eastAsia="en-US"/>
        </w:rPr>
        <w:t xml:space="preserve">26.60.12.132-00000036, </w:t>
      </w:r>
      <w:r>
        <w:rPr>
          <w:rStyle w:val="CharStyle12"/>
        </w:rPr>
        <w:t>указанной в составе жалобы, однако данная позиция каталога не содержат потребительских свойств и характеристик медицинского оборудования, необходимых Заказчику.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Предлагаемая Заявителем позиция КТРУ </w:t>
      </w:r>
      <w:r>
        <w:rPr>
          <w:rStyle w:val="CharStyle12"/>
          <w:lang w:val="en-US" w:eastAsia="en-US"/>
        </w:rPr>
        <w:t xml:space="preserve">26.60.12.132-00000036 </w:t>
      </w:r>
      <w:r>
        <w:rPr>
          <w:rStyle w:val="CharStyle12"/>
        </w:rPr>
        <w:t xml:space="preserve">описывает универсальный стационарный аппарат, предназначенный для использования в кабинете УЗИ, однако в соответствии с потребностью Заказчика к поставке требуется оборудование, обладающее признаком портативности, что указано в позиции КТРУ </w:t>
      </w:r>
      <w:r>
        <w:rPr>
          <w:rStyle w:val="CharStyle12"/>
          <w:lang w:val="en-US" w:eastAsia="en-US"/>
        </w:rPr>
        <w:t xml:space="preserve">26.60.12.132-00000041, </w:t>
      </w:r>
      <w:r>
        <w:rPr>
          <w:rStyle w:val="CharStyle12"/>
        </w:rPr>
        <w:t xml:space="preserve">представленной в ЕИС, содержащей описание медицинского изделия с идентификационным уникальным номером записи вида медицинского изделия </w:t>
      </w:r>
      <w:r>
        <w:rPr>
          <w:rStyle w:val="CharStyle12"/>
          <w:lang w:val="en-US" w:eastAsia="en-US"/>
        </w:rPr>
        <w:t xml:space="preserve">324320 </w:t>
      </w:r>
      <w:r>
        <w:rPr>
          <w:rStyle w:val="CharStyle12"/>
        </w:rPr>
        <w:t xml:space="preserve">«Система ультразвуковой визуализации ручная, для поверхности тела»: «Ручное устройство/комплект устройств с питанием от батареи, предназначенное для размещения над поверхностью тела для сбора, отображения и анализа ультразвуковой информации во время различных процедур ультразвуковой визуализации (т.е., неспециализированных); кроме того, может быть предназначено для использования со стерильным чехлом для интраоперационной визуализации. Состоит из ультразвукового преобразователя с плоской или вогнутой линзой и включает в себя интегрированную систему обработки изображений; может включать в себя встроенный дисплей или быть </w:t>
      </w:r>
      <w:r>
        <w:rPr>
          <w:rStyle w:val="CharStyle12"/>
          <w:i/>
          <w:iCs/>
        </w:rPr>
        <w:t>предназначенным для беспроводной передачи</w:t>
      </w:r>
      <w:r>
        <w:rPr>
          <w:rStyle w:val="CharStyle12"/>
        </w:rPr>
        <w:t xml:space="preserve"> изображений на серийное изделие (например, смартфон, планшет) с установленным специализированным программным обеспечением. Не предназначено для введения во влагалище или прямую кишку».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тем представитель Заказчика отмечает, что беспроводные УЗИ сканеры и стационарные УЗИ аппараты представляют собой разные виды медицинских изделий, таким образом, Заказчиком применена позиция КТРУ, содержащая важные технические характеристики товара, которые соответствуют потребности Заказчика, на основании собственных нужд лечебного учреждения, что в полной мере соответствует требованиям Постановления Правительства </w:t>
      </w:r>
      <w:r>
        <w:rPr>
          <w:rStyle w:val="CharStyle12"/>
          <w:lang w:val="en-US" w:eastAsia="en-US"/>
        </w:rPr>
        <w:t>№145.</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ч. </w:t>
      </w:r>
      <w:r>
        <w:rPr>
          <w:rStyle w:val="CharStyle12"/>
          <w:lang w:val="en-US" w:eastAsia="en-US"/>
        </w:rPr>
        <w:t xml:space="preserve">4 </w:t>
      </w:r>
      <w:r>
        <w:rPr>
          <w:rStyle w:val="CharStyle12"/>
        </w:rPr>
        <w:t xml:space="preserve">ст. </w:t>
      </w:r>
      <w:r>
        <w:rPr>
          <w:rStyle w:val="CharStyle12"/>
          <w:lang w:val="en-US" w:eastAsia="en-US"/>
        </w:rPr>
        <w:t xml:space="preserve">106 </w:t>
      </w:r>
      <w:r>
        <w:rPr>
          <w:rStyle w:val="CharStyle12"/>
        </w:rPr>
        <w:t>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при этом на заседании в составе жалобы Заявителем не представлено документов и сведений, подтверждающих довод жалобы, а также однозначно свидетельствующих о нарушении Заказчиком норм законодательства о контрактной системе в сфере закупок,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При таких данных Комиссия Управления приходит к выводу, что данный довод Заявителя не нашел своего подтверждения и является необоснованным.</w:t>
      </w:r>
    </w:p>
    <w:p>
      <w:pPr>
        <w:pStyle w:val="Style11"/>
        <w:keepNext w:val="0"/>
        <w:keepLines w:val="0"/>
        <w:widowControl w:val="0"/>
        <w:numPr>
          <w:ilvl w:val="0"/>
          <w:numId w:val="1"/>
        </w:numPr>
        <w:shd w:val="clear" w:color="auto" w:fill="auto"/>
        <w:tabs>
          <w:tab w:pos="1421" w:val="left"/>
        </w:tabs>
        <w:bidi w:val="0"/>
        <w:spacing w:before="0" w:after="0" w:line="240" w:lineRule="auto"/>
        <w:ind w:left="0" w:right="0" w:firstLine="720"/>
        <w:jc w:val="both"/>
      </w:pPr>
      <w:r>
        <w:rPr>
          <w:rStyle w:val="CharStyle12"/>
        </w:rPr>
        <w:t xml:space="preserve">В составе жалобы Заявитель указывает, что в извещении об осуществлении закупки Заказчиком не применено ограничение, предусмотренное Постановлением Правительства РФ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№1875), </w:t>
      </w:r>
      <w:r>
        <w:rPr>
          <w:rStyle w:val="CharStyle12"/>
        </w:rPr>
        <w:t>однако указанным в описании объекта закупки требованиям к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11"/>
        <w:keepNext w:val="0"/>
        <w:keepLines w:val="0"/>
        <w:widowControl w:val="0"/>
        <w:shd w:val="clear" w:color="auto" w:fill="auto"/>
        <w:bidi w:val="0"/>
        <w:spacing w:before="0" w:after="0" w:line="240" w:lineRule="auto"/>
        <w:ind w:left="0" w:right="0" w:firstLine="720"/>
        <w:jc w:val="both"/>
      </w:pPr>
      <w:r>
        <w:rPr>
          <w:rStyle w:val="CharStyle12"/>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w:t>
      </w:r>
    </w:p>
    <w:p>
      <w:pPr>
        <w:pStyle w:val="Style11"/>
        <w:keepNext w:val="0"/>
        <w:keepLines w:val="0"/>
        <w:widowControl w:val="0"/>
        <w:shd w:val="clear" w:color="auto" w:fill="auto"/>
        <w:bidi w:val="0"/>
        <w:spacing w:before="0" w:after="0" w:line="240" w:lineRule="auto"/>
        <w:ind w:left="0" w:right="0" w:firstLine="0"/>
        <w:jc w:val="both"/>
      </w:pPr>
      <w:r>
        <w:rPr>
          <w:rStyle w:val="CharStyle12"/>
        </w:rPr>
        <w:t>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пп.«б» п.1 ч.2 ст.14 Закона о контрактной системе Правительство Российской Федерации вправе с учетом положений ч.3 ст.14 Закона о контрактной системе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П.1 Постановление Правительства РФ от </w:t>
      </w:r>
      <w:r>
        <w:rPr>
          <w:rStyle w:val="CharStyle12"/>
          <w:lang w:val="en-US" w:eastAsia="en-US"/>
        </w:rPr>
        <w:t xml:space="preserve">10.07.2019 №878 </w:t>
      </w:r>
      <w:r>
        <w:rPr>
          <w:rStyle w:val="CharStyle12"/>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2"/>
          <w:lang w:val="en-US" w:eastAsia="en-US"/>
        </w:rPr>
        <w:t xml:space="preserve">16 </w:t>
      </w:r>
      <w:r>
        <w:rPr>
          <w:rStyle w:val="CharStyle12"/>
        </w:rPr>
        <w:t xml:space="preserve">сентября </w:t>
      </w:r>
      <w:r>
        <w:rPr>
          <w:rStyle w:val="CharStyle12"/>
          <w:lang w:val="en-US" w:eastAsia="en-US"/>
        </w:rPr>
        <w:t xml:space="preserve">2016 </w:t>
      </w:r>
      <w:r>
        <w:rPr>
          <w:rStyle w:val="CharStyle12"/>
        </w:rPr>
        <w:t xml:space="preserve">г. </w:t>
      </w:r>
      <w:r>
        <w:rPr>
          <w:rStyle w:val="CharStyle12"/>
          <w:lang w:val="en-US" w:eastAsia="en-US"/>
        </w:rPr>
        <w:t xml:space="preserve">N 925 </w:t>
      </w:r>
      <w:r>
        <w:rPr>
          <w:rStyle w:val="CharStyle12"/>
        </w:rPr>
        <w:t xml:space="preserve">и признании утратившими силу некоторых актов Правительства Российской Федерации»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№878) </w:t>
      </w:r>
      <w:r>
        <w:rPr>
          <w:rStyle w:val="CharStyle12"/>
        </w:rPr>
        <w:t xml:space="preserve">утвержден единый реестр российской радиоэлектронной продукции (далее </w:t>
      </w:r>
      <w:r>
        <w:rPr>
          <w:rStyle w:val="CharStyle12"/>
          <w:lang w:val="en-US" w:eastAsia="en-US"/>
        </w:rPr>
        <w:t xml:space="preserve">- </w:t>
      </w:r>
      <w:r>
        <w:rPr>
          <w:rStyle w:val="CharStyle12"/>
        </w:rPr>
        <w:t>Реестр).</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Абз.3 п.1 Постановления </w:t>
      </w:r>
      <w:r>
        <w:rPr>
          <w:rStyle w:val="CharStyle12"/>
          <w:lang w:val="en-US" w:eastAsia="en-US"/>
        </w:rPr>
        <w:t xml:space="preserve">№1875 </w:t>
      </w:r>
      <w:r>
        <w:rPr>
          <w:rStyle w:val="CharStyle12"/>
        </w:rPr>
        <w:t xml:space="preserve">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2"/>
          <w:lang w:val="en-US" w:eastAsia="en-US"/>
        </w:rPr>
        <w:t>№2.</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Комиссией Управления установлено, что согласно извещению об осуществлении закупок в отношении закупаемого оборудования «Система ультразвуковой визуализации ручная, для поверхности тела» Заказчиком установлено ограничение закупок товаров, происходящих из иностранных государств, предусмотренные положениями Постановления Правительства РФ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от </w:t>
      </w:r>
      <w:r>
        <w:rPr>
          <w:rStyle w:val="CharStyle12"/>
          <w:lang w:val="en-US" w:eastAsia="en-US"/>
        </w:rPr>
        <w:t>23.12.2024</w:t>
      </w:r>
    </w:p>
    <w:p>
      <w:pPr>
        <w:pStyle w:val="Style11"/>
        <w:keepNext w:val="0"/>
        <w:keepLines w:val="0"/>
        <w:widowControl w:val="0"/>
        <w:shd w:val="clear" w:color="auto" w:fill="auto"/>
        <w:bidi w:val="0"/>
        <w:spacing w:before="0" w:after="0" w:line="240" w:lineRule="auto"/>
        <w:ind w:left="0" w:right="0" w:firstLine="0"/>
        <w:jc w:val="both"/>
      </w:pPr>
      <w:r>
        <w:rPr>
          <w:rStyle w:val="CharStyle12"/>
          <w:lang w:val="en-US" w:eastAsia="en-US"/>
        </w:rPr>
        <w:t xml:space="preserve">№1875 </w:t>
      </w:r>
      <w:r>
        <w:rPr>
          <w:rStyle w:val="CharStyle12"/>
        </w:rPr>
        <w:t xml:space="preserve">(далее </w:t>
      </w:r>
      <w:r>
        <w:rPr>
          <w:rStyle w:val="CharStyle12"/>
          <w:lang w:val="en-US" w:eastAsia="en-US"/>
        </w:rPr>
        <w:t xml:space="preserve">- </w:t>
      </w:r>
      <w:r>
        <w:rPr>
          <w:rStyle w:val="CharStyle12"/>
        </w:rPr>
        <w:t xml:space="preserve">Постановление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Таким образом, Комиссия Управления приходит к выводу, что доводы жалобы Заявителя не основаны на положениях извещения, при этом положениями Постановления </w:t>
      </w:r>
      <w:r>
        <w:rPr>
          <w:rStyle w:val="CharStyle12"/>
          <w:lang w:val="en-US" w:eastAsia="en-US"/>
        </w:rPr>
        <w:t xml:space="preserve">№1875 </w:t>
      </w:r>
      <w:r>
        <w:rPr>
          <w:rStyle w:val="CharStyle12"/>
        </w:rPr>
        <w:t xml:space="preserve">и Постановления </w:t>
      </w:r>
      <w:r>
        <w:rPr>
          <w:rStyle w:val="CharStyle12"/>
          <w:lang w:val="en-US" w:eastAsia="en-US"/>
        </w:rPr>
        <w:t xml:space="preserve">№878, </w:t>
      </w:r>
      <w:r>
        <w:rPr>
          <w:rStyle w:val="CharStyle12"/>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составлено на основании характеристик товаров, содержащихся в Реестре.</w:t>
      </w:r>
    </w:p>
    <w:p>
      <w:pPr>
        <w:pStyle w:val="Style11"/>
        <w:keepNext w:val="0"/>
        <w:keepLines w:val="0"/>
        <w:widowControl w:val="0"/>
        <w:shd w:val="clear" w:color="auto" w:fill="auto"/>
        <w:bidi w:val="0"/>
        <w:spacing w:before="0" w:after="0" w:line="257" w:lineRule="auto"/>
        <w:ind w:left="0" w:right="0" w:firstLine="700"/>
        <w:jc w:val="both"/>
      </w:pPr>
      <w:r>
        <w:rPr>
          <w:rStyle w:val="CharStyle12"/>
        </w:rPr>
        <w:t>Вместе с тем в составе жалобы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11"/>
        <w:keepNext w:val="0"/>
        <w:keepLines w:val="0"/>
        <w:widowControl w:val="0"/>
        <w:shd w:val="clear" w:color="auto" w:fill="auto"/>
        <w:bidi w:val="0"/>
        <w:spacing w:before="0" w:after="0" w:line="257" w:lineRule="auto"/>
        <w:ind w:left="0" w:right="0" w:firstLine="700"/>
        <w:jc w:val="both"/>
      </w:pPr>
      <w:r>
        <w:rPr>
          <w:rStyle w:val="CharStyle12"/>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11"/>
        <w:keepNext w:val="0"/>
        <w:keepLines w:val="0"/>
        <w:widowControl w:val="0"/>
        <w:numPr>
          <w:ilvl w:val="0"/>
          <w:numId w:val="1"/>
        </w:numPr>
        <w:shd w:val="clear" w:color="auto" w:fill="auto"/>
        <w:tabs>
          <w:tab w:pos="1421" w:val="left"/>
        </w:tabs>
        <w:bidi w:val="0"/>
        <w:spacing w:before="0" w:after="0" w:line="240" w:lineRule="auto"/>
        <w:ind w:left="0" w:right="0" w:firstLine="700"/>
        <w:jc w:val="both"/>
      </w:pPr>
      <w:r>
        <w:rPr>
          <w:rStyle w:val="CharStyle12"/>
        </w:rPr>
        <w:t>В составе доводов жалобы Заявитель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При этом Заявитель полагает, что характеристики присутствуют только у одного производителя, но данная информация не подтверждена.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Таким образом, ст.33 Закона о контрактной систем содержит в себе закрытый перечень случаев, когда Заказчик вправе закупать товары конкретного производителя (пп. «б» </w:t>
      </w:r>
      <w:r>
        <w:rPr>
          <w:rStyle w:val="CharStyle12"/>
          <w:lang w:val="en-US" w:eastAsia="en-US"/>
        </w:rPr>
        <w:t xml:space="preserve">- </w:t>
      </w:r>
      <w:r>
        <w:rPr>
          <w:rStyle w:val="CharStyle12"/>
        </w:rPr>
        <w:t>«г» п.1 ч.1 ст.33 Закона о контрактной системе), во всех остальных случаях, совокупности всех требований извещения, в том числе и всем требованиям описания объекта закупки, должны соответствовать товары как минимум двух различных производителей.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тем обязанность по формированию описания объекта закупки в соответствии с положениями ст.33 Закона о контрактной системе возложена на Заказчика, следовательно,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w:t>
      </w:r>
    </w:p>
    <w:p>
      <w:pPr>
        <w:pStyle w:val="Style11"/>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1134" w:right="543" w:bottom="1115" w:left="1100" w:header="0" w:footer="3" w:gutter="0"/>
          <w:cols w:space="720"/>
          <w:noEndnote/>
          <w:rtlGutter w:val="0"/>
          <w:docGrid w:linePitch="360"/>
        </w:sectPr>
      </w:pPr>
      <w:r>
        <w:rPr>
          <w:rStyle w:val="CharStyle12"/>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w:t>
      </w:r>
    </w:p>
    <w:p>
      <w:pPr>
        <w:pStyle w:val="Style11"/>
        <w:keepNext w:val="0"/>
        <w:keepLines w:val="0"/>
        <w:widowControl w:val="0"/>
        <w:shd w:val="clear" w:color="auto" w:fill="auto"/>
        <w:bidi w:val="0"/>
        <w:spacing w:before="0" w:after="0" w:line="240" w:lineRule="auto"/>
        <w:ind w:left="0" w:right="0" w:firstLine="0"/>
        <w:jc w:val="both"/>
      </w:pPr>
      <w:r>
        <w:rPr>
          <w:rStyle w:val="CharStyle12"/>
        </w:rPr>
        <w:t>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заседании Комиссии Управления представитель Заказчика пояснил, что требования к закупаемым изделиям установлены Заказчиком в соответствии с потребностью учреждения, при этом совокупности требований извещения, вопреки доводам жалобы, соответствуют изделия различных производителей.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Для уточнения информации, а также предоставления возражений относительно оспариваемого довода, Комиссией Управления объявлен перерыв при рассмотрении жалобы до </w:t>
      </w:r>
      <w:r>
        <w:rPr>
          <w:rStyle w:val="CharStyle12"/>
          <w:lang w:val="en-US" w:eastAsia="en-US"/>
        </w:rPr>
        <w:t xml:space="preserve">28.02.2025 16:00 </w:t>
      </w:r>
      <w:r>
        <w:rPr>
          <w:rStyle w:val="CharStyle12"/>
        </w:rPr>
        <w:t>по московскому времени.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После объявленного перерыва Заказчиком представлены информация и сведения о товарах, удовлетворяющих требованиям извещения, в частности:</w:t>
      </w:r>
    </w:p>
    <w:p>
      <w:pPr>
        <w:pStyle w:val="Style11"/>
        <w:keepNext w:val="0"/>
        <w:keepLines w:val="0"/>
        <w:widowControl w:val="0"/>
        <w:numPr>
          <w:ilvl w:val="0"/>
          <w:numId w:val="5"/>
        </w:numPr>
        <w:shd w:val="clear" w:color="auto" w:fill="auto"/>
        <w:tabs>
          <w:tab w:pos="941" w:val="left"/>
        </w:tabs>
        <w:bidi w:val="0"/>
        <w:spacing w:before="0" w:after="0" w:line="240" w:lineRule="auto"/>
        <w:ind w:left="0" w:right="0" w:firstLine="700"/>
        <w:jc w:val="both"/>
      </w:pPr>
      <w:r>
        <w:rPr>
          <w:rStyle w:val="CharStyle12"/>
        </w:rPr>
        <w:t xml:space="preserve">по п.1 изделие «Сканер ультразвуковой беспроводного типа </w:t>
      </w:r>
      <w:r>
        <w:rPr>
          <w:rStyle w:val="CharStyle12"/>
          <w:lang w:val="en-US" w:eastAsia="en-US"/>
        </w:rPr>
        <w:t xml:space="preserve">"VIEMAX" </w:t>
      </w:r>
      <w:r>
        <w:rPr>
          <w:rStyle w:val="CharStyle12"/>
        </w:rPr>
        <w:t xml:space="preserve">модель </w:t>
      </w:r>
      <w:r>
        <w:rPr>
          <w:rStyle w:val="CharStyle12"/>
          <w:lang w:val="en-US" w:eastAsia="en-US"/>
        </w:rPr>
        <w:t xml:space="preserve">Combo-VIE-64 </w:t>
      </w:r>
      <w:r>
        <w:rPr>
          <w:rStyle w:val="CharStyle12"/>
        </w:rPr>
        <w:t xml:space="preserve">по ТУ </w:t>
      </w:r>
      <w:r>
        <w:rPr>
          <w:rStyle w:val="CharStyle12"/>
          <w:lang w:val="en-US" w:eastAsia="en-US"/>
        </w:rPr>
        <w:t xml:space="preserve">26.60.12-001-90578599-2024», </w:t>
      </w:r>
      <w:r>
        <w:rPr>
          <w:rStyle w:val="CharStyle12"/>
        </w:rPr>
        <w:t xml:space="preserve">производства ООО «МАКСМЕДТЕХ» (регистрационное удостоверение №РЗН </w:t>
      </w:r>
      <w:r>
        <w:rPr>
          <w:rStyle w:val="CharStyle12"/>
          <w:lang w:val="en-US" w:eastAsia="en-US"/>
        </w:rPr>
        <w:t xml:space="preserve">2025/24719 </w:t>
      </w:r>
      <w:r>
        <w:rPr>
          <w:rStyle w:val="CharStyle12"/>
        </w:rPr>
        <w:t xml:space="preserve">от </w:t>
      </w:r>
      <w:r>
        <w:rPr>
          <w:rStyle w:val="CharStyle12"/>
          <w:lang w:val="en-US" w:eastAsia="en-US"/>
        </w:rPr>
        <w:t>07.02.2025);</w:t>
      </w:r>
    </w:p>
    <w:p>
      <w:pPr>
        <w:pStyle w:val="Style11"/>
        <w:keepNext w:val="0"/>
        <w:keepLines w:val="0"/>
        <w:widowControl w:val="0"/>
        <w:numPr>
          <w:ilvl w:val="0"/>
          <w:numId w:val="5"/>
        </w:numPr>
        <w:shd w:val="clear" w:color="auto" w:fill="auto"/>
        <w:tabs>
          <w:tab w:pos="941" w:val="left"/>
        </w:tabs>
        <w:bidi w:val="0"/>
        <w:spacing w:before="0" w:after="0" w:line="240" w:lineRule="auto"/>
        <w:ind w:left="0" w:right="0" w:firstLine="700"/>
        <w:jc w:val="both"/>
      </w:pPr>
      <w:r>
        <w:rPr>
          <w:rStyle w:val="CharStyle12"/>
        </w:rPr>
        <w:t xml:space="preserve">«Система ультразвуковой визуализации портативная, модель </w:t>
      </w:r>
      <w:r>
        <w:rPr>
          <w:rStyle w:val="CharStyle12"/>
          <w:lang w:val="en-US" w:eastAsia="en-US"/>
        </w:rPr>
        <w:t xml:space="preserve">Q7» </w:t>
      </w:r>
      <w:r>
        <w:rPr>
          <w:rStyle w:val="CharStyle12"/>
        </w:rPr>
        <w:t xml:space="preserve">производства «Ухань Юкей Био-Медикал Электроникс Ко., Лтд» (регистрационное удостоверение №РЗН </w:t>
      </w:r>
      <w:r>
        <w:rPr>
          <w:rStyle w:val="CharStyle12"/>
          <w:lang w:val="en-US" w:eastAsia="en-US"/>
        </w:rPr>
        <w:t xml:space="preserve">2023/20438 </w:t>
      </w:r>
      <w:r>
        <w:rPr>
          <w:rStyle w:val="CharStyle12"/>
        </w:rPr>
        <w:t xml:space="preserve">от </w:t>
      </w:r>
      <w:r>
        <w:rPr>
          <w:rStyle w:val="CharStyle12"/>
          <w:lang w:val="en-US" w:eastAsia="en-US"/>
        </w:rPr>
        <w:t>22.06.2023);</w:t>
      </w:r>
    </w:p>
    <w:p>
      <w:pPr>
        <w:pStyle w:val="Style11"/>
        <w:keepNext w:val="0"/>
        <w:keepLines w:val="0"/>
        <w:widowControl w:val="0"/>
        <w:numPr>
          <w:ilvl w:val="0"/>
          <w:numId w:val="5"/>
        </w:numPr>
        <w:shd w:val="clear" w:color="auto" w:fill="auto"/>
        <w:tabs>
          <w:tab w:pos="941" w:val="left"/>
        </w:tabs>
        <w:bidi w:val="0"/>
        <w:spacing w:before="0" w:after="0" w:line="240" w:lineRule="auto"/>
        <w:ind w:left="0" w:right="0" w:firstLine="700"/>
        <w:jc w:val="both"/>
      </w:pPr>
      <w:r>
        <w:rPr>
          <w:rStyle w:val="CharStyle12"/>
        </w:rPr>
        <w:t xml:space="preserve">по п.2 изделие «Система диагностическая ультразвуковая </w:t>
      </w:r>
      <w:r>
        <w:rPr>
          <w:rStyle w:val="CharStyle12"/>
          <w:lang w:val="en-US" w:eastAsia="en-US"/>
        </w:rPr>
        <w:t xml:space="preserve">AcclarixAX8 </w:t>
      </w:r>
      <w:r>
        <w:rPr>
          <w:rStyle w:val="CharStyle12"/>
        </w:rPr>
        <w:t xml:space="preserve">с принадлежностями», производства «Эдан Инструментс, Инк.» (регистрационное удостоверение №РЗН </w:t>
      </w:r>
      <w:r>
        <w:rPr>
          <w:rStyle w:val="CharStyle12"/>
          <w:lang w:val="en-US" w:eastAsia="en-US"/>
        </w:rPr>
        <w:t xml:space="preserve">2019/9044 </w:t>
      </w:r>
      <w:r>
        <w:rPr>
          <w:rStyle w:val="CharStyle12"/>
        </w:rPr>
        <w:t xml:space="preserve">от </w:t>
      </w:r>
      <w:r>
        <w:rPr>
          <w:rStyle w:val="CharStyle12"/>
          <w:lang w:val="en-US" w:eastAsia="en-US"/>
        </w:rPr>
        <w:t>17.10.2019);</w:t>
      </w:r>
    </w:p>
    <w:p>
      <w:pPr>
        <w:pStyle w:val="Style11"/>
        <w:keepNext w:val="0"/>
        <w:keepLines w:val="0"/>
        <w:widowControl w:val="0"/>
        <w:numPr>
          <w:ilvl w:val="0"/>
          <w:numId w:val="5"/>
        </w:numPr>
        <w:shd w:val="clear" w:color="auto" w:fill="auto"/>
        <w:tabs>
          <w:tab w:pos="941" w:val="left"/>
        </w:tabs>
        <w:bidi w:val="0"/>
        <w:spacing w:before="0" w:after="0" w:line="240" w:lineRule="auto"/>
        <w:ind w:left="0" w:right="0" w:firstLine="700"/>
        <w:jc w:val="both"/>
      </w:pPr>
      <w:r>
        <w:rPr>
          <w:rStyle w:val="CharStyle12"/>
        </w:rPr>
        <w:t xml:space="preserve">«Система ультразвуковой визуализации универсальная серии </w:t>
      </w:r>
      <w:r>
        <w:rPr>
          <w:rStyle w:val="CharStyle12"/>
          <w:lang w:val="en-US" w:eastAsia="en-US"/>
        </w:rPr>
        <w:t xml:space="preserve">MX </w:t>
      </w:r>
      <w:r>
        <w:rPr>
          <w:rStyle w:val="CharStyle12"/>
        </w:rPr>
        <w:t xml:space="preserve">с принадлежностями, варианты исполнения </w:t>
      </w:r>
      <w:r>
        <w:rPr>
          <w:rStyle w:val="CharStyle12"/>
          <w:lang w:val="en-US" w:eastAsia="en-US"/>
        </w:rPr>
        <w:t xml:space="preserve">MX7, MX7 Exp, MX7T, MX7S, MX7 Pro » </w:t>
      </w:r>
      <w:r>
        <w:rPr>
          <w:rStyle w:val="CharStyle12"/>
        </w:rPr>
        <w:t xml:space="preserve">производства ООО «Миндрей Медикал Рус» (регистрационное удостоверение №РЗН </w:t>
      </w:r>
      <w:r>
        <w:rPr>
          <w:rStyle w:val="CharStyle12"/>
          <w:lang w:val="en-US" w:eastAsia="en-US"/>
        </w:rPr>
        <w:t xml:space="preserve">2021/15226 </w:t>
      </w:r>
      <w:r>
        <w:rPr>
          <w:rStyle w:val="CharStyle12"/>
        </w:rPr>
        <w:t xml:space="preserve">от </w:t>
      </w:r>
      <w:r>
        <w:rPr>
          <w:rStyle w:val="CharStyle12"/>
          <w:lang w:val="en-US" w:eastAsia="en-US"/>
        </w:rPr>
        <w:t>01.09.2021).</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тем Комиссия Управления отмечает, что по п.1 данный товар «Сканер ультразвуковой беспроводного типа </w:t>
      </w:r>
      <w:r>
        <w:rPr>
          <w:rStyle w:val="CharStyle12"/>
          <w:lang w:val="en-US" w:eastAsia="en-US"/>
        </w:rPr>
        <w:t xml:space="preserve">"VIEMAX" </w:t>
      </w:r>
      <w:r>
        <w:rPr>
          <w:rStyle w:val="CharStyle12"/>
        </w:rPr>
        <w:t xml:space="preserve">модель </w:t>
      </w:r>
      <w:r>
        <w:rPr>
          <w:rStyle w:val="CharStyle12"/>
          <w:lang w:val="en-US" w:eastAsia="en-US"/>
        </w:rPr>
        <w:t xml:space="preserve">Combo-VIE-64 </w:t>
      </w:r>
      <w:r>
        <w:rPr>
          <w:rStyle w:val="CharStyle12"/>
        </w:rPr>
        <w:t xml:space="preserve">по ТУ </w:t>
      </w:r>
      <w:r>
        <w:rPr>
          <w:rStyle w:val="CharStyle12"/>
          <w:lang w:val="en-US" w:eastAsia="en-US"/>
        </w:rPr>
        <w:t xml:space="preserve">26.60.12-001-90578599-2024» </w:t>
      </w:r>
      <w:r>
        <w:rPr>
          <w:rStyle w:val="CharStyle12"/>
        </w:rPr>
        <w:t>не соответствует требованиям установленным Заказчиком, поскольку требуемый параметр, как установлено в извещении «Пакеты программ и расчетов: Ангиология» отсутствует в соответствии с информацией из инструкции, размещенной на сайте Росздравнадзора, по указанному регистрационному удостоверению.</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Одновременно с этим «Система ультразвуковой визуализации портативная, модель </w:t>
      </w:r>
      <w:r>
        <w:rPr>
          <w:rStyle w:val="CharStyle12"/>
          <w:lang w:val="en-US" w:eastAsia="en-US"/>
        </w:rPr>
        <w:t xml:space="preserve">Q7» </w:t>
      </w:r>
      <w:r>
        <w:rPr>
          <w:rStyle w:val="CharStyle12"/>
        </w:rPr>
        <w:t xml:space="preserve">производства «Ухань Юкей Био-Медикал Электроникс Ко., Лтд» также не соответствует требованиям описания объекта закупки, поскольку согласно инструкции данного медицинского оборудования, отсутствует указание на наличие «Пакеты программ и расчетов: Педиатрия», а также значение данного параметра «Апертура (максимальный размер сканирующей поверхности), мм (Доступно только при выборе Датчик линейный </w:t>
      </w:r>
      <w:r>
        <w:rPr>
          <w:rStyle w:val="CharStyle12"/>
          <w:lang w:val="en-US" w:eastAsia="en-US"/>
        </w:rPr>
        <w:t xml:space="preserve">№1 — </w:t>
      </w:r>
      <w:r>
        <w:rPr>
          <w:rStyle w:val="CharStyle12"/>
        </w:rPr>
        <w:t xml:space="preserve">Да): </w:t>
      </w:r>
      <w:r>
        <w:rPr>
          <w:rStyle w:val="CharStyle12"/>
          <w:lang w:val="en-US" w:eastAsia="en-US"/>
        </w:rPr>
        <w:t xml:space="preserve">27-46» </w:t>
      </w:r>
      <w:r>
        <w:rPr>
          <w:rStyle w:val="CharStyle12"/>
        </w:rPr>
        <w:t>не представлено.</w:t>
      </w:r>
    </w:p>
    <w:p>
      <w:pPr>
        <w:pStyle w:val="Style11"/>
        <w:keepNext w:val="0"/>
        <w:keepLines w:val="0"/>
        <w:widowControl w:val="0"/>
        <w:shd w:val="clear" w:color="auto" w:fill="auto"/>
        <w:bidi w:val="0"/>
        <w:spacing w:before="0" w:after="0" w:line="269" w:lineRule="auto"/>
        <w:ind w:left="0" w:right="0" w:firstLine="700"/>
        <w:jc w:val="both"/>
        <w:rPr>
          <w:sz w:val="24"/>
          <w:szCs w:val="24"/>
        </w:rPr>
      </w:pPr>
      <w:r>
        <w:rPr>
          <w:rStyle w:val="CharStyle12"/>
        </w:rPr>
        <w:t xml:space="preserve">В свою очередь Комиссией Управления установлено, что по п.2 «Система диагностическая ультразвуковая </w:t>
      </w:r>
      <w:r>
        <w:rPr>
          <w:rStyle w:val="CharStyle12"/>
          <w:lang w:val="en-US" w:eastAsia="en-US"/>
        </w:rPr>
        <w:t xml:space="preserve">AcclarixAX8 </w:t>
      </w:r>
      <w:r>
        <w:rPr>
          <w:rStyle w:val="CharStyle12"/>
        </w:rPr>
        <w:t xml:space="preserve">с принадлежностями», производства «Эдан Инструментс, Инк.» вопреки возражениям Заказчика не соответствует требованиям извещения, поскольку значение параметра, установленного в </w:t>
      </w:r>
      <w:r>
        <w:rPr>
          <w:rStyle w:val="CharStyle12"/>
          <w:sz w:val="24"/>
          <w:szCs w:val="24"/>
          <w:lang w:val="en-US" w:eastAsia="en-US"/>
        </w:rPr>
        <w:t>2025-39563</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извещении, в частности, «Максимальная частота сканирования (Доступно только при выборе Датчик линейный </w:t>
      </w:r>
      <w:r>
        <w:rPr>
          <w:rStyle w:val="CharStyle12"/>
          <w:lang w:val="en-US" w:eastAsia="en-US"/>
        </w:rPr>
        <w:t xml:space="preserve">№1- </w:t>
      </w:r>
      <w:r>
        <w:rPr>
          <w:rStyle w:val="CharStyle12"/>
        </w:rPr>
        <w:t xml:space="preserve">Да): </w:t>
      </w:r>
      <w:r>
        <w:rPr>
          <w:rStyle w:val="CharStyle12"/>
          <w:lang w:val="en-US" w:eastAsia="en-US"/>
        </w:rPr>
        <w:t xml:space="preserve">≥ 10», </w:t>
      </w:r>
      <w:r>
        <w:rPr>
          <w:rStyle w:val="CharStyle12"/>
        </w:rPr>
        <w:t xml:space="preserve">согласно инструкции, размещенной на сайте Росздравнадзора, не указано, при этом значение, например, «Максимальная частота сканирования (Доступно только при выборе Датчик секторный фазированный </w:t>
      </w:r>
      <w:r>
        <w:rPr>
          <w:rStyle w:val="CharStyle12"/>
          <w:lang w:val="en-US" w:eastAsia="en-US"/>
        </w:rPr>
        <w:t xml:space="preserve">№1 — </w:t>
      </w:r>
      <w:r>
        <w:rPr>
          <w:rStyle w:val="CharStyle12"/>
        </w:rPr>
        <w:t xml:space="preserve">Да): </w:t>
      </w:r>
      <w:r>
        <w:rPr>
          <w:rStyle w:val="CharStyle12"/>
          <w:lang w:val="en-US" w:eastAsia="en-US"/>
        </w:rPr>
        <w:t xml:space="preserve">≤ 1» </w:t>
      </w:r>
      <w:r>
        <w:rPr>
          <w:rStyle w:val="CharStyle12"/>
        </w:rPr>
        <w:t>также не представлено.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При этом Комиссия Управления, проанализировав сведения, представленные в инструкции на оборудование «Система ультразвуковой визуализации универсальная серии </w:t>
      </w:r>
      <w:r>
        <w:rPr>
          <w:rStyle w:val="CharStyle12"/>
          <w:lang w:val="en-US" w:eastAsia="en-US"/>
        </w:rPr>
        <w:t xml:space="preserve">MX </w:t>
      </w:r>
      <w:r>
        <w:rPr>
          <w:rStyle w:val="CharStyle12"/>
        </w:rPr>
        <w:t xml:space="preserve">с принадлежностями, варианты исполнения </w:t>
      </w:r>
      <w:r>
        <w:rPr>
          <w:rStyle w:val="CharStyle12"/>
          <w:lang w:val="en-US" w:eastAsia="en-US"/>
        </w:rPr>
        <w:t xml:space="preserve">MX7, MX7 Exp, MX7T, MX7S, MX7 Pro » </w:t>
      </w:r>
      <w:r>
        <w:rPr>
          <w:rStyle w:val="CharStyle12"/>
        </w:rPr>
        <w:t>производства ООО «Миндрей Медикал Рус», пришла к выводу о несоответствии данного товара требованиям извещения ввиду отсутствия указания на наличие информации в том числе о максимальной частоте сканирования датчика секторного фазированного.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вышеизложенного, а также на основании имеющихся документов и сведений, Комиссия Управления приходит к выводу о нарушении Заказчиком п.1 ч.1 ст.33 Закона о контрактной системе при формировании описания объекта закупки, что содержит признаки состава административного правонарушения, ответственность за которое предусмотрена ч.6 ст.7.30.1 Кодекса Российской Федерации об административных правонарушениях.</w:t>
      </w:r>
    </w:p>
    <w:p>
      <w:pPr>
        <w:pStyle w:val="Style11"/>
        <w:keepNext w:val="0"/>
        <w:keepLines w:val="0"/>
        <w:widowControl w:val="0"/>
        <w:numPr>
          <w:ilvl w:val="0"/>
          <w:numId w:val="1"/>
        </w:numPr>
        <w:shd w:val="clear" w:color="auto" w:fill="auto"/>
        <w:tabs>
          <w:tab w:pos="1421" w:val="left"/>
        </w:tabs>
        <w:bidi w:val="0"/>
        <w:spacing w:before="0" w:after="0" w:line="240" w:lineRule="auto"/>
        <w:ind w:left="0" w:right="0" w:firstLine="700"/>
        <w:jc w:val="both"/>
      </w:pPr>
      <w:r>
        <w:rPr>
          <w:rStyle w:val="CharStyle12"/>
        </w:rPr>
        <w:t xml:space="preserve">Также в составе жалобы Заявитель указывает, что Заказчиком не исполнены требования Постановления Правительства РФ от </w:t>
      </w:r>
      <w:r>
        <w:rPr>
          <w:rStyle w:val="CharStyle12"/>
          <w:lang w:val="en-US" w:eastAsia="en-US"/>
        </w:rPr>
        <w:t xml:space="preserve">3 </w:t>
      </w:r>
      <w:r>
        <w:rPr>
          <w:rStyle w:val="CharStyle12"/>
        </w:rPr>
        <w:t xml:space="preserve">декабря </w:t>
      </w:r>
      <w:r>
        <w:rPr>
          <w:rStyle w:val="CharStyle12"/>
          <w:lang w:val="en-US" w:eastAsia="en-US"/>
        </w:rPr>
        <w:t xml:space="preserve">2020 </w:t>
      </w:r>
      <w:r>
        <w:rPr>
          <w:rStyle w:val="CharStyle12"/>
        </w:rPr>
        <w:t xml:space="preserve">г. </w:t>
      </w:r>
      <w:r>
        <w:rPr>
          <w:rStyle w:val="CharStyle12"/>
          <w:lang w:val="en-US" w:eastAsia="en-US"/>
        </w:rPr>
        <w:t xml:space="preserve">№2014 </w:t>
      </w:r>
      <w:r>
        <w:rPr>
          <w:rStyle w:val="CharStyle12"/>
        </w:rPr>
        <w:t xml:space="preserve">«О минимальной обязательной доле закупок российских товаров и ее достижении заказчиком»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№2014), </w:t>
      </w:r>
      <w:r>
        <w:rPr>
          <w:rStyle w:val="CharStyle12"/>
        </w:rPr>
        <w:t xml:space="preserve">в части закупки аппаратов ультразвукового исследования Российского производства не менее </w:t>
      </w:r>
      <w:r>
        <w:rPr>
          <w:rStyle w:val="CharStyle12"/>
          <w:lang w:val="en-US" w:eastAsia="en-US"/>
        </w:rPr>
        <w:t>80%.</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12"/>
          <w:lang w:val="en-US" w:eastAsia="en-US"/>
        </w:rPr>
        <w:t xml:space="preserve">№1875, </w:t>
      </w:r>
      <w:r>
        <w:rPr>
          <w:rStyle w:val="CharStyle12"/>
        </w:rPr>
        <w:t xml:space="preserve">Постановление </w:t>
      </w:r>
      <w:r>
        <w:rPr>
          <w:rStyle w:val="CharStyle12"/>
          <w:lang w:val="en-US" w:eastAsia="en-US"/>
        </w:rPr>
        <w:t xml:space="preserve">№2014 </w:t>
      </w:r>
      <w:r>
        <w:rPr>
          <w:rStyle w:val="CharStyle12"/>
        </w:rPr>
        <w:t>утрачивает силу.</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П.12 Постановления </w:t>
      </w:r>
      <w:r>
        <w:rPr>
          <w:rStyle w:val="CharStyle12"/>
          <w:lang w:val="en-US" w:eastAsia="en-US"/>
        </w:rPr>
        <w:t xml:space="preserve">№1875 </w:t>
      </w:r>
      <w:r>
        <w:rPr>
          <w:rStyle w:val="CharStyle12"/>
        </w:rPr>
        <w:t xml:space="preserve">определено, что Постановление </w:t>
      </w:r>
      <w:r>
        <w:rPr>
          <w:rStyle w:val="CharStyle12"/>
          <w:lang w:val="en-US" w:eastAsia="en-US"/>
        </w:rPr>
        <w:t xml:space="preserve">№1875 </w:t>
      </w:r>
      <w:r>
        <w:rPr>
          <w:rStyle w:val="CharStyle12"/>
        </w:rPr>
        <w:t xml:space="preserve">вступает в силу с </w:t>
      </w:r>
      <w:r>
        <w:rPr>
          <w:rStyle w:val="CharStyle12"/>
          <w:lang w:val="en-US" w:eastAsia="en-US"/>
        </w:rPr>
        <w:t xml:space="preserve">1 </w:t>
      </w:r>
      <w:r>
        <w:rPr>
          <w:rStyle w:val="CharStyle12"/>
        </w:rPr>
        <w:t xml:space="preserve">января </w:t>
      </w:r>
      <w:r>
        <w:rPr>
          <w:rStyle w:val="CharStyle12"/>
          <w:lang w:val="en-US" w:eastAsia="en-US"/>
        </w:rPr>
        <w:t xml:space="preserve">2025 </w:t>
      </w:r>
      <w:r>
        <w:rPr>
          <w:rStyle w:val="CharStyle12"/>
        </w:rPr>
        <w:t xml:space="preserve">г., за исключением пп.«ф» п.4 Постановление </w:t>
      </w:r>
      <w:r>
        <w:rPr>
          <w:rStyle w:val="CharStyle12"/>
          <w:lang w:val="en-US" w:eastAsia="en-US"/>
        </w:rPr>
        <w:t xml:space="preserve">№1875, </w:t>
      </w:r>
      <w:r>
        <w:rPr>
          <w:rStyle w:val="CharStyle12"/>
        </w:rPr>
        <w:t xml:space="preserve">который вступает в силу с </w:t>
      </w:r>
      <w:r>
        <w:rPr>
          <w:rStyle w:val="CharStyle12"/>
          <w:lang w:val="en-US" w:eastAsia="en-US"/>
        </w:rPr>
        <w:t xml:space="preserve">1 </w:t>
      </w:r>
      <w:r>
        <w:rPr>
          <w:rStyle w:val="CharStyle12"/>
        </w:rPr>
        <w:t xml:space="preserve">сентября </w:t>
      </w:r>
      <w:r>
        <w:rPr>
          <w:rStyle w:val="CharStyle12"/>
          <w:lang w:val="en-US" w:eastAsia="en-US"/>
        </w:rPr>
        <w:t xml:space="preserve">2025 </w:t>
      </w:r>
      <w:r>
        <w:rPr>
          <w:rStyle w:val="CharStyle12"/>
        </w:rPr>
        <w:t>г.</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Пп.«а» п.10 Постановления </w:t>
      </w:r>
      <w:r>
        <w:rPr>
          <w:rStyle w:val="CharStyle12"/>
          <w:lang w:val="en-US" w:eastAsia="en-US"/>
        </w:rPr>
        <w:t xml:space="preserve">№1875 </w:t>
      </w:r>
      <w:r>
        <w:rPr>
          <w:rStyle w:val="CharStyle12"/>
        </w:rPr>
        <w:t xml:space="preserve">установлено, что Постановление </w:t>
      </w:r>
      <w:r>
        <w:rPr>
          <w:rStyle w:val="CharStyle12"/>
          <w:lang w:val="en-US" w:eastAsia="en-US"/>
        </w:rPr>
        <w:t xml:space="preserve">№1875 </w:t>
      </w:r>
      <w:r>
        <w:rPr>
          <w:rStyle w:val="CharStyle12"/>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12"/>
          <w:lang w:val="en-US" w:eastAsia="en-US"/>
        </w:rPr>
        <w:t>№1875.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Комиссия Управления установлено, что обжалуемое извещение опубликовано Заказчиком </w:t>
      </w:r>
      <w:r>
        <w:rPr>
          <w:rStyle w:val="CharStyle12"/>
          <w:lang w:val="en-US" w:eastAsia="en-US"/>
        </w:rPr>
        <w:t>14.08.2025.</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Таким образом, Комиссия Управления приходит к выводу, что Постановление </w:t>
      </w:r>
      <w:r>
        <w:rPr>
          <w:rStyle w:val="CharStyle12"/>
          <w:lang w:val="en-US" w:eastAsia="en-US"/>
        </w:rPr>
        <w:t xml:space="preserve">№2014 </w:t>
      </w:r>
      <w:r>
        <w:rPr>
          <w:rStyle w:val="CharStyle12"/>
        </w:rPr>
        <w:t xml:space="preserve">утратило силу и положения Постановления </w:t>
      </w:r>
      <w:r>
        <w:rPr>
          <w:rStyle w:val="CharStyle12"/>
          <w:lang w:val="en-US" w:eastAsia="en-US"/>
        </w:rPr>
        <w:t xml:space="preserve">№2014 </w:t>
      </w:r>
      <w:r>
        <w:rPr>
          <w:rStyle w:val="CharStyle12"/>
        </w:rPr>
        <w:t>не могут быть применены в отношении данной закупочной процедуры.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Одновременно с этим Комиссия Управления отмечает.</w:t>
      </w:r>
    </w:p>
    <w:p>
      <w:pPr>
        <w:pStyle w:val="Style11"/>
        <w:keepNext w:val="0"/>
        <w:keepLines w:val="0"/>
        <w:widowControl w:val="0"/>
        <w:shd w:val="clear" w:color="auto" w:fill="auto"/>
        <w:bidi w:val="0"/>
        <w:spacing w:before="0" w:after="0" w:line="276" w:lineRule="auto"/>
        <w:ind w:left="0" w:right="0" w:firstLine="700"/>
        <w:jc w:val="both"/>
        <w:rPr>
          <w:sz w:val="24"/>
          <w:szCs w:val="24"/>
        </w:rPr>
      </w:pPr>
      <w:r>
        <w:rPr>
          <w:rStyle w:val="CharStyle12"/>
        </w:rPr>
        <w:t xml:space="preserve">В силу ч.6 ст.14 Закона о контрактной системе по итогам года до </w:t>
      </w:r>
      <w:r>
        <w:rPr>
          <w:rStyle w:val="CharStyle12"/>
          <w:lang w:val="en-US" w:eastAsia="en-US"/>
        </w:rPr>
        <w:t xml:space="preserve">1 </w:t>
      </w:r>
      <w:r>
        <w:rPr>
          <w:rStyle w:val="CharStyle12"/>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w:t>
      </w:r>
      <w:r>
        <w:rPr>
          <w:rStyle w:val="CharStyle12"/>
          <w:sz w:val="24"/>
          <w:szCs w:val="24"/>
          <w:lang w:val="en-US" w:eastAsia="en-US"/>
        </w:rPr>
        <w:t>2025-39563</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12"/>
          <w:lang w:val="en-US" w:eastAsia="en-US"/>
        </w:rPr>
        <w:t xml:space="preserve">8 </w:t>
      </w:r>
      <w:r>
        <w:rPr>
          <w:rStyle w:val="CharStyle12"/>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12"/>
          <w:lang w:val="en-US" w:eastAsia="en-US"/>
        </w:rPr>
        <w:t xml:space="preserve">1 </w:t>
      </w:r>
      <w:r>
        <w:rPr>
          <w:rStyle w:val="CharStyle12"/>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12"/>
          <w:lang w:val="en-US" w:eastAsia="en-US"/>
        </w:rPr>
        <w:t xml:space="preserve">1 </w:t>
      </w:r>
      <w:r>
        <w:rPr>
          <w:rStyle w:val="CharStyle12"/>
        </w:rPr>
        <w:t>марта года, следующего за отчетным годом.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Комиссия Управления отмечает, что исходя из буквального толкования положений ч.6,7 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Кроме того, п.9 Постановления </w:t>
      </w:r>
      <w:r>
        <w:rPr>
          <w:rStyle w:val="CharStyle12"/>
          <w:lang w:val="en-US" w:eastAsia="en-US"/>
        </w:rPr>
        <w:t xml:space="preserve">№1875 </w:t>
      </w:r>
      <w:r>
        <w:rPr>
          <w:rStyle w:val="CharStyle12"/>
        </w:rPr>
        <w:t>определено, что Министерство финансов Российской Федерации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учитывая, что в рамках рассмотрения данной жалобы Комиссия Управления по контролю в сфере закупок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11"/>
        <w:keepNext w:val="0"/>
        <w:keepLines w:val="0"/>
        <w:widowControl w:val="0"/>
        <w:numPr>
          <w:ilvl w:val="0"/>
          <w:numId w:val="1"/>
        </w:numPr>
        <w:shd w:val="clear" w:color="auto" w:fill="auto"/>
        <w:tabs>
          <w:tab w:pos="1421" w:val="left"/>
        </w:tabs>
        <w:bidi w:val="0"/>
        <w:spacing w:before="0" w:after="0" w:line="240" w:lineRule="auto"/>
        <w:ind w:left="0" w:right="0" w:firstLine="700"/>
        <w:jc w:val="both"/>
        <w:rPr>
          <w:sz w:val="24"/>
          <w:szCs w:val="24"/>
        </w:rPr>
      </w:pPr>
      <w:r>
        <w:rPr>
          <w:rStyle w:val="CharStyle12"/>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12"/>
          <w:lang w:val="en-US" w:eastAsia="en-US"/>
        </w:rPr>
        <w:t xml:space="preserve">16.11.2015 №1236 </w:t>
      </w:r>
      <w:r>
        <w:rPr>
          <w:rStyle w:val="CharStyle12"/>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2"/>
          <w:lang w:val="en-US" w:eastAsia="en-US"/>
        </w:rPr>
        <w:t xml:space="preserve">- </w:t>
      </w:r>
      <w:r>
        <w:rPr>
          <w:rStyle w:val="CharStyle12"/>
        </w:rPr>
        <w:t xml:space="preserve">членов Евразийского </w:t>
      </w:r>
      <w:r>
        <w:rPr>
          <w:rStyle w:val="CharStyle12"/>
          <w:sz w:val="24"/>
          <w:szCs w:val="24"/>
          <w:lang w:val="en-US" w:eastAsia="en-US"/>
        </w:rPr>
        <w:t>2025-39563</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экономического союза, за исключением Российской Федерации» (далее </w:t>
      </w:r>
      <w:r>
        <w:rPr>
          <w:rStyle w:val="CharStyle12"/>
          <w:lang w:val="en-US" w:eastAsia="en-US"/>
        </w:rPr>
        <w:t xml:space="preserve">— </w:t>
      </w:r>
      <w:r>
        <w:rPr>
          <w:rStyle w:val="CharStyle12"/>
        </w:rPr>
        <w:t xml:space="preserve">Постановление </w:t>
      </w:r>
      <w:r>
        <w:rPr>
          <w:rStyle w:val="CharStyle12"/>
          <w:lang w:val="en-US" w:eastAsia="en-US"/>
        </w:rPr>
        <w:t>№1236).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12"/>
          <w:lang w:val="en-US" w:eastAsia="en-US"/>
        </w:rPr>
        <w:t>№1236.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Комиссия Управления отмечает, что, ввиду вступления в силу Постановления </w:t>
      </w:r>
      <w:r>
        <w:rPr>
          <w:rStyle w:val="CharStyle12"/>
          <w:lang w:val="en-US" w:eastAsia="en-US"/>
        </w:rPr>
        <w:t xml:space="preserve">№1875, </w:t>
      </w:r>
      <w:r>
        <w:rPr>
          <w:rStyle w:val="CharStyle12"/>
        </w:rPr>
        <w:t xml:space="preserve">п.2 Постановлением </w:t>
      </w:r>
      <w:r>
        <w:rPr>
          <w:rStyle w:val="CharStyle12"/>
          <w:lang w:val="en-US" w:eastAsia="en-US"/>
        </w:rPr>
        <w:t xml:space="preserve">№1236, </w:t>
      </w:r>
      <w:r>
        <w:rPr>
          <w:rStyle w:val="CharStyle12"/>
        </w:rPr>
        <w:t xml:space="preserve">в редакции от </w:t>
      </w:r>
      <w:r>
        <w:rPr>
          <w:rStyle w:val="CharStyle12"/>
          <w:lang w:val="en-US" w:eastAsia="en-US"/>
        </w:rPr>
        <w:t xml:space="preserve">20.12.2017 </w:t>
      </w:r>
      <w:r>
        <w:rPr>
          <w:rStyle w:val="CharStyle12"/>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12"/>
          <w:lang w:val="en-US" w:eastAsia="en-US"/>
        </w:rPr>
        <w:t xml:space="preserve">1 </w:t>
      </w:r>
      <w:r>
        <w:rPr>
          <w:rStyle w:val="CharStyle12"/>
        </w:rPr>
        <w:t xml:space="preserve">января </w:t>
      </w:r>
      <w:r>
        <w:rPr>
          <w:rStyle w:val="CharStyle12"/>
          <w:lang w:val="en-US" w:eastAsia="en-US"/>
        </w:rPr>
        <w:t xml:space="preserve">2025 </w:t>
      </w:r>
      <w:r>
        <w:rPr>
          <w:rStyle w:val="CharStyle12"/>
        </w:rPr>
        <w:t>года.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как установлено Комиссией Управления, извещение об осуществлении закупки опубликовано Заказчиком </w:t>
      </w:r>
      <w:r>
        <w:rPr>
          <w:rStyle w:val="CharStyle12"/>
          <w:lang w:val="en-US" w:eastAsia="en-US"/>
        </w:rPr>
        <w:t xml:space="preserve">14.08.2025, </w:t>
      </w:r>
      <w:r>
        <w:rPr>
          <w:rStyle w:val="CharStyle12"/>
        </w:rPr>
        <w:t xml:space="preserve">в связи с чем довод Заявителя, на предмет нарушения требований Постановления </w:t>
      </w:r>
      <w:r>
        <w:rPr>
          <w:rStyle w:val="CharStyle12"/>
          <w:lang w:val="en-US" w:eastAsia="en-US"/>
        </w:rPr>
        <w:t xml:space="preserve">№1236, </w:t>
      </w:r>
      <w:r>
        <w:rPr>
          <w:rStyle w:val="CharStyle12"/>
        </w:rPr>
        <w:t>не нашел своего подтверждения и является необоснованным.</w:t>
      </w:r>
    </w:p>
    <w:p>
      <w:pPr>
        <w:pStyle w:val="Style11"/>
        <w:keepNext w:val="0"/>
        <w:keepLines w:val="0"/>
        <w:widowControl w:val="0"/>
        <w:numPr>
          <w:ilvl w:val="0"/>
          <w:numId w:val="1"/>
        </w:numPr>
        <w:shd w:val="clear" w:color="auto" w:fill="auto"/>
        <w:tabs>
          <w:tab w:pos="1421" w:val="left"/>
        </w:tabs>
        <w:bidi w:val="0"/>
        <w:spacing w:before="0" w:after="0" w:line="240" w:lineRule="auto"/>
        <w:ind w:left="0" w:right="0" w:firstLine="700"/>
        <w:jc w:val="both"/>
      </w:pPr>
      <w:r>
        <w:rPr>
          <w:rStyle w:val="CharStyle12"/>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отсутствует в отдельном файле техническое задание, в четком соответствии с описанием объекта закупки отраженном в извещении.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11"/>
        <w:keepNext w:val="0"/>
        <w:keepLines w:val="0"/>
        <w:widowControl w:val="0"/>
        <w:numPr>
          <w:ilvl w:val="0"/>
          <w:numId w:val="1"/>
        </w:numPr>
        <w:shd w:val="clear" w:color="auto" w:fill="auto"/>
        <w:tabs>
          <w:tab w:pos="1421" w:val="left"/>
        </w:tabs>
        <w:bidi w:val="0"/>
        <w:spacing w:before="0" w:after="0" w:line="240" w:lineRule="auto"/>
        <w:ind w:left="0" w:right="0" w:firstLine="700"/>
        <w:jc w:val="both"/>
      </w:pPr>
      <w:r>
        <w:rPr>
          <w:rStyle w:val="CharStyle12"/>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в составе извещения Заказчиком размещена в том числе следующая информация:</w:t>
      </w:r>
    </w:p>
    <w:p>
      <w:pPr>
        <w:pStyle w:val="Style11"/>
        <w:keepNext w:val="0"/>
        <w:keepLines w:val="0"/>
        <w:widowControl w:val="0"/>
        <w:numPr>
          <w:ilvl w:val="0"/>
          <w:numId w:val="7"/>
        </w:numPr>
        <w:shd w:val="clear" w:color="auto" w:fill="auto"/>
        <w:tabs>
          <w:tab w:pos="1444" w:val="left"/>
        </w:tabs>
        <w:bidi w:val="0"/>
        <w:spacing w:before="0" w:after="0" w:line="240" w:lineRule="auto"/>
        <w:ind w:left="0" w:right="0" w:firstLine="700"/>
        <w:jc w:val="both"/>
      </w:pPr>
      <w:r>
        <w:rPr>
          <w:rStyle w:val="CharStyle12"/>
        </w:rPr>
        <w:t>«Ответственное должностное лицо: Ефимова Л. С.»;</w:t>
      </w:r>
    </w:p>
    <w:p>
      <w:pPr>
        <w:pStyle w:val="Style11"/>
        <w:keepNext w:val="0"/>
        <w:keepLines w:val="0"/>
        <w:widowControl w:val="0"/>
        <w:numPr>
          <w:ilvl w:val="0"/>
          <w:numId w:val="7"/>
        </w:numPr>
        <w:shd w:val="clear" w:color="auto" w:fill="auto"/>
        <w:tabs>
          <w:tab w:pos="1444" w:val="left"/>
        </w:tabs>
        <w:bidi w:val="0"/>
        <w:spacing w:before="0" w:after="0" w:line="240" w:lineRule="auto"/>
        <w:ind w:left="0" w:right="0" w:firstLine="700"/>
        <w:jc w:val="both"/>
      </w:pPr>
      <w:r>
        <w:rPr>
          <w:rStyle w:val="CharStyle12"/>
        </w:rPr>
        <w:t xml:space="preserve">«Адрес электронной почты: </w:t>
      </w:r>
      <w:r>
        <w:rPr>
          <w:rStyle w:val="CharStyle12"/>
          <w:lang w:val="en-US" w:eastAsia="en-US"/>
        </w:rPr>
        <w:t>zakupki@kb85.ru»;</w:t>
      </w:r>
    </w:p>
    <w:p>
      <w:pPr>
        <w:pStyle w:val="Style11"/>
        <w:keepNext w:val="0"/>
        <w:keepLines w:val="0"/>
        <w:widowControl w:val="0"/>
        <w:numPr>
          <w:ilvl w:val="0"/>
          <w:numId w:val="7"/>
        </w:numPr>
        <w:shd w:val="clear" w:color="auto" w:fill="auto"/>
        <w:tabs>
          <w:tab w:pos="1444" w:val="left"/>
        </w:tabs>
        <w:bidi w:val="0"/>
        <w:spacing w:before="0" w:after="0" w:line="240" w:lineRule="auto"/>
        <w:ind w:left="0" w:right="0" w:firstLine="700"/>
        <w:jc w:val="both"/>
      </w:pPr>
      <w:r>
        <w:rPr>
          <w:rStyle w:val="CharStyle12"/>
        </w:rPr>
        <w:t xml:space="preserve">«Номер контактного телефона: </w:t>
      </w:r>
      <w:r>
        <w:rPr>
          <w:rStyle w:val="CharStyle12"/>
          <w:lang w:val="en-US" w:eastAsia="en-US"/>
        </w:rPr>
        <w:t>7-499-3242194».</w:t>
      </w:r>
    </w:p>
    <w:p>
      <w:pPr>
        <w:pStyle w:val="Style11"/>
        <w:keepNext w:val="0"/>
        <w:keepLines w:val="0"/>
        <w:widowControl w:val="0"/>
        <w:shd w:val="clear" w:color="auto" w:fill="auto"/>
        <w:bidi w:val="0"/>
        <w:spacing w:before="0" w:after="0" w:line="295"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138" w:right="542" w:bottom="653" w:left="1104" w:header="0" w:footer="225" w:gutter="0"/>
          <w:cols w:space="720"/>
          <w:noEndnote/>
          <w:rtlGutter w:val="0"/>
          <w:docGrid w:linePitch="360"/>
        </w:sectPr>
      </w:pPr>
      <w:r>
        <w:rPr>
          <w:rStyle w:val="CharStyle12"/>
        </w:rPr>
        <w:t xml:space="preserve">Комиссия Управления отмечает, что Законом о контрактной системе не предусмотрена обязанность Заказчика размещать в извещении сведения о </w:t>
      </w:r>
      <w:r>
        <w:rPr>
          <w:rStyle w:val="CharStyle12"/>
          <w:sz w:val="24"/>
          <w:szCs w:val="24"/>
          <w:lang w:val="en-US" w:eastAsia="en-US"/>
        </w:rPr>
        <w:t>2025-39563</w:t>
      </w:r>
    </w:p>
    <w:p>
      <w:pPr>
        <w:pStyle w:val="Style11"/>
        <w:keepNext w:val="0"/>
        <w:keepLines w:val="0"/>
        <w:widowControl w:val="0"/>
        <w:shd w:val="clear" w:color="auto" w:fill="auto"/>
        <w:bidi w:val="0"/>
        <w:spacing w:before="0" w:after="0" w:line="240" w:lineRule="auto"/>
        <w:ind w:left="0" w:right="0" w:firstLine="0"/>
        <w:jc w:val="both"/>
      </w:pPr>
      <w:r>
        <w:rPr>
          <w:rStyle w:val="CharStyle12"/>
        </w:rPr>
        <w:t>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numPr>
          <w:ilvl w:val="0"/>
          <w:numId w:val="9"/>
        </w:numPr>
        <w:shd w:val="clear" w:color="auto" w:fill="auto"/>
        <w:tabs>
          <w:tab w:pos="1426" w:val="left"/>
        </w:tabs>
        <w:bidi w:val="0"/>
        <w:spacing w:before="0" w:after="0" w:line="240" w:lineRule="auto"/>
        <w:ind w:left="0" w:right="0" w:firstLine="700"/>
        <w:jc w:val="both"/>
      </w:pPr>
      <w:r>
        <w:rPr>
          <w:rStyle w:val="CharStyle12"/>
        </w:rPr>
        <w:t>Также в составе жалобы Заявитель указывает, что составе извещения, в том числе в проекте контракта, не содержится сведений о сроке действия и окончания контракта.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в составе извещения Заказчиком размещена в том числе следующая информация:</w:t>
      </w:r>
    </w:p>
    <w:p>
      <w:pPr>
        <w:pStyle w:val="Style11"/>
        <w:keepNext w:val="0"/>
        <w:keepLines w:val="0"/>
        <w:widowControl w:val="0"/>
        <w:numPr>
          <w:ilvl w:val="0"/>
          <w:numId w:val="11"/>
        </w:numPr>
        <w:shd w:val="clear" w:color="auto" w:fill="auto"/>
        <w:tabs>
          <w:tab w:pos="1444" w:val="left"/>
        </w:tabs>
        <w:bidi w:val="0"/>
        <w:spacing w:before="0" w:after="0" w:line="240" w:lineRule="auto"/>
        <w:ind w:left="0" w:right="0" w:firstLine="700"/>
        <w:jc w:val="both"/>
      </w:pPr>
      <w:r>
        <w:rPr>
          <w:rStyle w:val="CharStyle12"/>
        </w:rPr>
        <w:t>«Дата начала исполнения контракта: с даты заключения контракта»;</w:t>
      </w:r>
    </w:p>
    <w:p>
      <w:pPr>
        <w:pStyle w:val="Style11"/>
        <w:keepNext w:val="0"/>
        <w:keepLines w:val="0"/>
        <w:widowControl w:val="0"/>
        <w:numPr>
          <w:ilvl w:val="0"/>
          <w:numId w:val="11"/>
        </w:numPr>
        <w:shd w:val="clear" w:color="auto" w:fill="auto"/>
        <w:tabs>
          <w:tab w:pos="1444" w:val="left"/>
        </w:tabs>
        <w:bidi w:val="0"/>
        <w:spacing w:before="0" w:after="0" w:line="240" w:lineRule="auto"/>
        <w:ind w:left="0" w:right="0" w:firstLine="700"/>
        <w:jc w:val="both"/>
      </w:pPr>
      <w:r>
        <w:rPr>
          <w:rStyle w:val="CharStyle12"/>
        </w:rPr>
        <w:t xml:space="preserve">«Срок исполнения контракта: </w:t>
      </w:r>
      <w:r>
        <w:rPr>
          <w:rStyle w:val="CharStyle12"/>
          <w:lang w:val="en-US" w:eastAsia="en-US"/>
        </w:rPr>
        <w:t>20.02.2026».</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ч.1 ст.34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Исходя из вышеизложенного Комиссия Управления приходит к выводу, что сведения о сроках исполнения контракта размещены Заказчиком в составе извещения.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numPr>
          <w:ilvl w:val="0"/>
          <w:numId w:val="9"/>
        </w:numPr>
        <w:shd w:val="clear" w:color="auto" w:fill="auto"/>
        <w:tabs>
          <w:tab w:pos="1426" w:val="left"/>
        </w:tabs>
        <w:bidi w:val="0"/>
        <w:spacing w:before="0" w:after="0" w:line="240" w:lineRule="auto"/>
        <w:ind w:left="0" w:right="0" w:firstLine="700"/>
        <w:jc w:val="both"/>
      </w:pPr>
      <w:r>
        <w:rPr>
          <w:rStyle w:val="CharStyle12"/>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12"/>
          <w:lang w:val="en-US" w:eastAsia="en-US"/>
        </w:rPr>
        <w:t>№2014.</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12"/>
          <w:lang w:val="en-US" w:eastAsia="en-US"/>
        </w:rPr>
        <w:t xml:space="preserve">6 </w:t>
      </w:r>
      <w:r>
        <w:rPr>
          <w:rStyle w:val="CharStyle12"/>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w:t>
      </w:r>
    </w:p>
    <w:p>
      <w:pPr>
        <w:pStyle w:val="Style11"/>
        <w:keepNext w:val="0"/>
        <w:keepLines w:val="0"/>
        <w:widowControl w:val="0"/>
        <w:shd w:val="clear" w:color="auto" w:fill="auto"/>
        <w:bidi w:val="0"/>
        <w:spacing w:before="0" w:after="0" w:line="240" w:lineRule="auto"/>
        <w:ind w:left="0" w:right="0" w:firstLine="0"/>
        <w:jc w:val="both"/>
      </w:pPr>
      <w:r>
        <w:rPr>
          <w:rStyle w:val="CharStyle12"/>
        </w:rPr>
        <w:t>рассмотрения, ввиду чего Заявитель вправе самостоятельно подать жалобу в соответствующие органы.</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вышеизложенного Комиссией Управления принято решение об отказе в удовлетворении вышеуказанного ходатайства.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Также Заявителем на заседании Комиссии Управления озвучено ходатайство об ознакомлении с документами, направленными Заказчиком в материалы дела, в связи с чем Комиссией Управления в адрес Заявителя направлены запрашиваемые документы, в части тех документов, которые были представлены Заказчиком в материалы дела и запрошены Заявителем.</w:t>
      </w:r>
    </w:p>
    <w:p>
      <w:pPr>
        <w:pStyle w:val="Style11"/>
        <w:keepNext w:val="0"/>
        <w:keepLines w:val="0"/>
        <w:widowControl w:val="0"/>
        <w:shd w:val="clear" w:color="auto" w:fill="auto"/>
        <w:bidi w:val="0"/>
        <w:spacing w:before="0" w:after="0" w:line="240" w:lineRule="auto"/>
        <w:ind w:left="0" w:right="0" w:firstLine="700"/>
        <w:jc w:val="both"/>
        <w:sectPr>
          <w:headerReference w:type="default" r:id="rId15"/>
          <w:footerReference w:type="default" r:id="rId16"/>
          <w:footnotePr>
            <w:pos w:val="pageBottom"/>
            <w:numFmt w:val="decimal"/>
            <w:numRestart w:val="continuous"/>
          </w:footnotePr>
          <w:pgSz w:w="11900" w:h="16840"/>
          <w:pgMar w:top="1150" w:right="550" w:bottom="1126" w:left="1101" w:header="0" w:footer="3" w:gutter="0"/>
          <w:cols w:space="720"/>
          <w:noEndnote/>
          <w:rtlGutter w:val="0"/>
          <w:docGrid w:linePitch="360"/>
        </w:sectPr>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РЕШИЛА:</w:t>
      </w:r>
    </w:p>
    <w:p>
      <w:pPr>
        <w:pStyle w:val="Style11"/>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12"/>
        </w:rPr>
        <w:t xml:space="preserve">Признать жалобу ИП Кравченко А.В. на действия ФГБУЗ КБ </w:t>
      </w:r>
      <w:r>
        <w:rPr>
          <w:rStyle w:val="CharStyle12"/>
          <w:lang w:val="en-US" w:eastAsia="en-US"/>
        </w:rPr>
        <w:t xml:space="preserve">№ 85 </w:t>
      </w:r>
      <w:r>
        <w:rPr>
          <w:rStyle w:val="CharStyle12"/>
        </w:rPr>
        <w:t>ФМБА России обоснованной в части неправомерного формирования описания объекта закупки.</w:t>
      </w:r>
    </w:p>
    <w:p>
      <w:pPr>
        <w:pStyle w:val="Style11"/>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12"/>
        </w:rPr>
        <w:t xml:space="preserve">Признать в действиях ФГБУЗ КБ </w:t>
      </w:r>
      <w:r>
        <w:rPr>
          <w:rStyle w:val="CharStyle12"/>
          <w:lang w:val="en-US" w:eastAsia="en-US"/>
        </w:rPr>
        <w:t xml:space="preserve">№ 85 </w:t>
      </w:r>
      <w:r>
        <w:rPr>
          <w:rStyle w:val="CharStyle12"/>
        </w:rPr>
        <w:t>ФМБА России нарушение требований п.1 ч.1 ст.33 Закона о контрактной системе.</w:t>
      </w:r>
    </w:p>
    <w:p>
      <w:pPr>
        <w:pStyle w:val="Style11"/>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12"/>
        </w:rPr>
        <w:t>Выдать обязательное для исполнения предписание об устранении нарушений Закона о контрактной системе.</w:t>
      </w:r>
    </w:p>
    <w:p>
      <w:pPr>
        <w:pStyle w:val="Style11"/>
        <w:keepNext w:val="0"/>
        <w:keepLines w:val="0"/>
        <w:widowControl w:val="0"/>
        <w:numPr>
          <w:ilvl w:val="0"/>
          <w:numId w:val="13"/>
        </w:numPr>
        <w:shd w:val="clear" w:color="auto" w:fill="auto"/>
        <w:tabs>
          <w:tab w:pos="1411" w:val="left"/>
        </w:tabs>
        <w:bidi w:val="0"/>
        <w:spacing w:before="0" w:after="0" w:line="240" w:lineRule="auto"/>
        <w:ind w:left="0" w:right="0" w:firstLine="700"/>
        <w:jc w:val="both"/>
      </w:pPr>
      <w:r>
        <w:rPr>
          <w:rStyle w:val="CharStyle12"/>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footnotePr>
            <w:pos w:val="pageBottom"/>
            <w:numFmt w:val="decimal"/>
            <w:numRestart w:val="continuous"/>
          </w:footnotePr>
          <w:pgSz w:w="11900" w:h="16840"/>
          <w:pgMar w:top="1158" w:right="536" w:bottom="2862" w:left="1106" w:header="0" w:footer="3" w:gutter="0"/>
          <w:cols w:space="720"/>
          <w:noEndnote/>
          <w:rtlGutter w:val="0"/>
          <w:docGrid w:linePitch="360"/>
        </w:sectPr>
      </w:pPr>
      <w:r>
        <mc:AlternateContent>
          <mc:Choice Requires="wps">
            <w:drawing>
              <wp:anchor distT="127000" distB="340995" distL="0" distR="0" simplePos="0" relativeHeight="125829380" behindDoc="0" locked="0" layoutInCell="1" allowOverlap="1">
                <wp:simplePos x="0" y="0"/>
                <wp:positionH relativeFrom="page">
                  <wp:posOffset>739140</wp:posOffset>
                </wp:positionH>
                <wp:positionV relativeFrom="paragraph">
                  <wp:posOffset>127000</wp:posOffset>
                </wp:positionV>
                <wp:extent cx="1844040" cy="250190"/>
                <wp:wrapTopAndBottom/>
                <wp:docPr id="19" name="Shape 19"/>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8.200000000000003pt;margin-top:10.pt;width:145.20000000000002pt;height:19.699999999999999pt;z-index:-125829373;mso-wrap-distance-left:0;mso-wrap-distance-top:10.pt;mso-wrap-distance-right:0;mso-wrap-distance-bottom:26.8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196850" distB="0" distL="0" distR="1786255" simplePos="0" relativeHeight="125829382" behindDoc="0" locked="0" layoutInCell="1" allowOverlap="1">
            <wp:simplePos x="0" y="0"/>
            <wp:positionH relativeFrom="page">
              <wp:posOffset>3107690</wp:posOffset>
            </wp:positionH>
            <wp:positionV relativeFrom="paragraph">
              <wp:posOffset>196850</wp:posOffset>
            </wp:positionV>
            <wp:extent cx="359410" cy="52451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601980</wp:posOffset>
                </wp:positionV>
                <wp:extent cx="1283335" cy="100330"/>
                <wp:wrapNone/>
                <wp:docPr id="23" name="Shape 2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80.94999999999999pt;margin-top:47.399999999999999pt;width:101.05pt;height:7.90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3528060</wp:posOffset>
                </wp:positionH>
                <wp:positionV relativeFrom="paragraph">
                  <wp:posOffset>285115</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80000000000001pt;margin-top:22.449999999999999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40995" distL="0" distR="0" simplePos="0" relativeHeight="125829383" behindDoc="0" locked="0" layoutInCell="1" allowOverlap="1">
                <wp:simplePos x="0" y="0"/>
                <wp:positionH relativeFrom="page">
                  <wp:posOffset>5908675</wp:posOffset>
                </wp:positionH>
                <wp:positionV relativeFrom="paragraph">
                  <wp:posOffset>127000</wp:posOffset>
                </wp:positionV>
                <wp:extent cx="1307465" cy="250190"/>
                <wp:wrapTopAndBottom/>
                <wp:docPr id="27" name="Shape 27"/>
                <a:graphic xmlns:a="http://schemas.openxmlformats.org/drawingml/2006/main">
                  <a:graphicData uri="http://schemas.microsoft.com/office/word/2010/wordprocessingShape">
                    <wps:wsp>
                      <wps:cNvSpPr txBox="1"/>
                      <wps:spPr>
                        <a:xfrm>
                          <a:ext cx="130746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wps:txbx>
                      <wps:bodyPr wrap="none" lIns="0" tIns="0" rIns="0" bIns="0">
                        <a:noAutoFit/>
                      </wps:bodyPr>
                    </wps:wsp>
                  </a:graphicData>
                </a:graphic>
              </wp:anchor>
            </w:drawing>
          </mc:Choice>
          <mc:Fallback>
            <w:pict>
              <v:shape id="_x0000_s1053" type="#_x0000_t202" style="position:absolute;margin-left:465.25pt;margin-top:10.pt;width:102.95pt;height:19.699999999999999pt;z-index:-125829370;mso-wrap-distance-left:0;mso-wrap-distance-top:10.pt;mso-wrap-distance-right:0;mso-wrap-distance-bottom:26.85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v:textbox>
                <w10:wrap type="topAndBottom" anchorx="page"/>
              </v:shape>
            </w:pict>
          </mc:Fallback>
        </mc:AlternateContent>
      </w:r>
    </w:p>
    <w:p>
      <w:pPr>
        <w:pStyle w:val="Style19"/>
        <w:keepNext w:val="0"/>
        <w:keepLines w:val="0"/>
        <w:widowControl w:val="0"/>
        <w:shd w:val="clear" w:color="auto" w:fill="auto"/>
        <w:bidi w:val="0"/>
        <w:spacing w:before="0" w:after="0" w:line="240" w:lineRule="auto"/>
        <w:ind w:left="0" w:right="0" w:firstLine="0"/>
        <w:jc w:val="center"/>
      </w:pPr>
      <w:r>
        <w:rPr>
          <w:rStyle w:val="CharStyle20"/>
        </w:rPr>
        <w:t xml:space="preserve">Кому выдан: </w:t>
      </w:r>
      <w:r>
        <w:rPr>
          <w:rStyle w:val="CharStyle20"/>
          <w:color w:val="000000"/>
        </w:rPr>
        <w:t>Кутейников Антон Андреевич</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67950889C45403E5BD9EBC88A8D80C0D</w:t>
      </w:r>
    </w:p>
    <w:p>
      <w:pPr>
        <w:pStyle w:val="Style19"/>
        <w:keepNext w:val="0"/>
        <w:keepLines w:val="0"/>
        <w:widowControl w:val="0"/>
        <w:shd w:val="clear" w:color="auto" w:fill="auto"/>
        <w:bidi w:val="0"/>
        <w:spacing w:before="0" w:after="580" w:line="240" w:lineRule="auto"/>
        <w:ind w:right="0" w:firstLine="0"/>
        <w:jc w:val="left"/>
      </w:pPr>
      <w:r>
        <w:rPr>
          <w:rStyle w:val="CharStyle20"/>
        </w:rPr>
        <w:t xml:space="preserve">Действителен с 19.05.2025 </w:t>
      </w:r>
      <w:r>
        <w:rPr>
          <w:rStyle w:val="CharStyle20"/>
          <w:color w:val="5D5D5D"/>
        </w:rPr>
        <w:t xml:space="preserve">по </w:t>
      </w:r>
      <w:r>
        <w:rPr>
          <w:rStyle w:val="CharStyle20"/>
        </w:rPr>
        <w:t>12.08.2026</w:t>
      </w:r>
    </w:p>
    <w:p>
      <w:pPr>
        <w:pStyle w:val="Style11"/>
        <w:keepNext w:val="0"/>
        <w:keepLines w:val="0"/>
        <w:widowControl w:val="0"/>
        <w:shd w:val="clear" w:color="auto" w:fill="auto"/>
        <w:bidi w:val="0"/>
        <w:spacing w:before="0" w:after="10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5" behindDoc="0" locked="0" layoutInCell="1" allowOverlap="1">
            <wp:simplePos x="0" y="0"/>
            <wp:positionH relativeFrom="page">
              <wp:posOffset>3107055</wp:posOffset>
            </wp:positionH>
            <wp:positionV relativeFrom="paragraph">
              <wp:posOffset>63500</wp:posOffset>
            </wp:positionV>
            <wp:extent cx="359410" cy="51816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59410" cy="5181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3567430</wp:posOffset>
                </wp:positionH>
                <wp:positionV relativeFrom="paragraph">
                  <wp:posOffset>466090</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0.90000000000003pt;margin-top:36.700000000000003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3527425</wp:posOffset>
                </wp:positionH>
                <wp:positionV relativeFrom="paragraph">
                  <wp:posOffset>148590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7.75pt;margin-top:11.700000000000001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Матюшенко</w:t>
      </w:r>
    </w:p>
    <w:p>
      <w:pPr>
        <w:pStyle w:val="Style19"/>
        <w:keepNext w:val="0"/>
        <w:keepLines w:val="0"/>
        <w:widowControl w:val="0"/>
        <w:shd w:val="clear" w:color="auto" w:fill="auto"/>
        <w:bidi w:val="0"/>
        <w:spacing w:before="0" w:after="0" w:line="266" w:lineRule="auto"/>
        <w:ind w:right="0" w:firstLine="0"/>
        <w:jc w:val="left"/>
      </w:pPr>
      <w:r>
        <w:rPr>
          <w:rStyle w:val="CharStyle20"/>
        </w:rPr>
        <w:t xml:space="preserve">Кому выдан: </w:t>
      </w:r>
      <w:r>
        <w:rPr>
          <w:rStyle w:val="CharStyle20"/>
          <w:color w:val="000000"/>
        </w:rPr>
        <w:t>Матюшенко Александр Александрович</w:t>
      </w:r>
      <w:r>
        <w:rPr>
          <w:rStyle w:val="CharStyle20"/>
          <w:color w:val="000000"/>
        </w:rPr>
        <w:t xml:space="preserve"> </w:t>
      </w:r>
      <w:r>
        <w:rPr>
          <w:rStyle w:val="CharStyle20"/>
        </w:rPr>
        <w:t xml:space="preserve">Сертификат </w:t>
      </w:r>
      <w:r>
        <w:rPr>
          <w:rStyle w:val="CharStyle20"/>
          <w:color w:val="292929"/>
        </w:rPr>
        <w:t xml:space="preserve">№ </w:t>
      </w:r>
      <w:r>
        <w:rPr>
          <w:rStyle w:val="CharStyle20"/>
          <w:lang w:val="en-US" w:eastAsia="en-US"/>
        </w:rPr>
        <w:t>4F595A5C3E5ABB2DD77161F08559FC07</w:t>
      </w:r>
    </w:p>
    <w:p>
      <w:pPr>
        <w:pStyle w:val="Style19"/>
        <w:keepNext w:val="0"/>
        <w:keepLines w:val="0"/>
        <w:widowControl w:val="0"/>
        <w:shd w:val="clear" w:color="auto" w:fill="auto"/>
        <w:bidi w:val="0"/>
        <w:spacing w:before="0" w:after="820" w:line="266" w:lineRule="auto"/>
        <w:ind w:right="0" w:firstLine="0"/>
        <w:jc w:val="left"/>
      </w:pPr>
      <w:r>
        <mc:AlternateContent>
          <mc:Choice Requires="wps">
            <w:drawing>
              <wp:anchor distT="0" distB="0" distL="114300" distR="114300" simplePos="0" relativeHeight="125829386" behindDoc="0" locked="0" layoutInCell="1" allowOverlap="1">
                <wp:simplePos x="0" y="0"/>
                <wp:positionH relativeFrom="page">
                  <wp:posOffset>6170295</wp:posOffset>
                </wp:positionH>
                <wp:positionV relativeFrom="paragraph">
                  <wp:posOffset>457200</wp:posOffset>
                </wp:positionV>
                <wp:extent cx="1048385" cy="250190"/>
                <wp:wrapSquare wrapText="bothSides"/>
                <wp:docPr id="35" name="Shape 35"/>
                <a:graphic xmlns:a="http://schemas.openxmlformats.org/drawingml/2006/main">
                  <a:graphicData uri="http://schemas.microsoft.com/office/word/2010/wordprocessingShape">
                    <wps:wsp>
                      <wps:cNvSpPr txBox="1"/>
                      <wps:spPr>
                        <a:xfrm>
                          <a:ext cx="104838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О.А. Челнова</w:t>
                            </w:r>
                          </w:p>
                        </w:txbxContent>
                      </wps:txbx>
                      <wps:bodyPr wrap="none" lIns="0" tIns="0" rIns="0" bIns="0">
                        <a:noAutoFit/>
                      </wps:bodyPr>
                    </wps:wsp>
                  </a:graphicData>
                </a:graphic>
              </wp:anchor>
            </w:drawing>
          </mc:Choice>
          <mc:Fallback>
            <w:pict>
              <v:shape id="_x0000_s1061" type="#_x0000_t202" style="position:absolute;margin-left:485.85000000000002pt;margin-top:36.pt;width:82.549999999999997pt;height:19.699999999999999pt;z-index:-125829367;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О.А. Челнова</w:t>
                      </w:r>
                    </w:p>
                  </w:txbxContent>
                </v:textbox>
                <w10:wrap type="square" anchorx="page"/>
              </v:shape>
            </w:pict>
          </mc:Fallback>
        </mc:AlternateContent>
      </w:r>
      <w:r>
        <w:rPr>
          <w:rStyle w:val="CharStyle20"/>
        </w:rPr>
        <w:t xml:space="preserve">Действителен с 22.07.2025 </w:t>
      </w:r>
      <w:r>
        <w:rPr>
          <w:rStyle w:val="CharStyle20"/>
          <w:color w:val="5D5D5D"/>
        </w:rPr>
        <w:t xml:space="preserve">по </w:t>
      </w:r>
      <w:r>
        <w:rPr>
          <w:rStyle w:val="CharStyle20"/>
        </w:rPr>
        <w:t>15.10.2026</w:t>
      </w:r>
    </w:p>
    <w:p>
      <w:pPr>
        <w:pStyle w:val="Style24"/>
        <w:keepNext w:val="0"/>
        <w:keepLines w:val="0"/>
        <w:widowControl w:val="0"/>
        <w:shd w:val="clear" w:color="auto" w:fill="auto"/>
        <w:bidi w:val="0"/>
        <w:spacing w:before="0" w:after="90" w:line="240" w:lineRule="auto"/>
        <w:ind w:right="0" w:firstLine="0"/>
        <w:jc w:val="left"/>
      </w:pPr>
      <w:r>
        <w:rPr>
          <w:rStyle w:val="CharStyle25"/>
        </w:rPr>
        <w:t>Подлинник электронного документа, подписанного ЭП, хранится в системе электронного документооборота ФАС России</w: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25"/>
          <w:color w:val="FFFFFF"/>
          <w:sz w:val="12"/>
          <w:szCs w:val="12"/>
        </w:rPr>
        <w:t>СВЕДЕНИЯ О СЕРТИФИКАТЕ ЭП</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Кому выдан: </w:t>
      </w:r>
      <w:r>
        <w:rPr>
          <w:rStyle w:val="CharStyle20"/>
          <w:color w:val="000000"/>
        </w:rPr>
        <w:t>Челнова Олеся Антоновна</w:t>
      </w:r>
    </w:p>
    <w:p>
      <w:pPr>
        <w:pStyle w:val="Style19"/>
        <w:keepNext w:val="0"/>
        <w:keepLines w:val="0"/>
        <w:widowControl w:val="0"/>
        <w:shd w:val="clear" w:color="auto" w:fill="auto"/>
        <w:bidi w:val="0"/>
        <w:spacing w:before="0" w:after="0" w:line="240" w:lineRule="auto"/>
        <w:ind w:right="0" w:firstLine="0"/>
        <w:jc w:val="left"/>
      </w:pPr>
      <w:r>
        <w:rPr>
          <w:rStyle w:val="CharStyle20"/>
        </w:rPr>
        <w:t xml:space="preserve">Сертификат </w:t>
      </w:r>
      <w:r>
        <w:rPr>
          <w:rStyle w:val="CharStyle20"/>
          <w:color w:val="292929"/>
        </w:rPr>
        <w:t xml:space="preserve">№ </w:t>
      </w:r>
      <w:r>
        <w:rPr>
          <w:rStyle w:val="CharStyle20"/>
          <w:lang w:val="en-US" w:eastAsia="en-US"/>
        </w:rPr>
        <w:t>05605B6072C3BC92D25AFCA81C80B531</w:t>
      </w:r>
    </w:p>
    <w:p>
      <w:pPr>
        <w:pStyle w:val="Style19"/>
        <w:keepNext w:val="0"/>
        <w:keepLines w:val="0"/>
        <w:widowControl w:val="0"/>
        <w:shd w:val="clear" w:color="auto" w:fill="auto"/>
        <w:bidi w:val="0"/>
        <w:spacing w:before="0" w:after="1080" w:line="240" w:lineRule="auto"/>
        <w:ind w:right="0" w:firstLine="0"/>
        <w:jc w:val="left"/>
      </w:pPr>
      <w:r>
        <w:rPr>
          <w:rStyle w:val="CharStyle20"/>
        </w:rPr>
        <w:t xml:space="preserve">Действителен с 23.05.2025 </w:t>
      </w:r>
      <w:r>
        <w:rPr>
          <w:rStyle w:val="CharStyle20"/>
          <w:color w:val="5D5D5D"/>
        </w:rPr>
        <w:t xml:space="preserve">по </w:t>
      </w:r>
      <w:r>
        <w:rPr>
          <w:rStyle w:val="CharStyle20"/>
        </w:rPr>
        <w:t>16.08.2026</w:t>
      </w:r>
    </w:p>
    <w:p>
      <w:pPr>
        <w:pStyle w:val="Style27"/>
        <w:keepNext w:val="0"/>
        <w:keepLines w:val="0"/>
        <w:widowControl w:val="0"/>
        <w:shd w:val="clear" w:color="auto" w:fill="auto"/>
        <w:bidi w:val="0"/>
        <w:spacing w:before="0" w:after="0" w:line="240" w:lineRule="auto"/>
        <w:ind w:left="0" w:right="0" w:firstLine="0"/>
        <w:jc w:val="left"/>
      </w:pPr>
      <w:r>
        <w:rPr>
          <w:rStyle w:val="CharStyle28"/>
        </w:rPr>
        <w:t>Исп.Челнова О.А.</w:t>
      </w:r>
    </w:p>
    <w:p>
      <w:pPr>
        <w:pStyle w:val="Style27"/>
        <w:keepNext w:val="0"/>
        <w:keepLines w:val="0"/>
        <w:widowControl w:val="0"/>
        <w:shd w:val="clear" w:color="auto" w:fill="auto"/>
        <w:bidi w:val="0"/>
        <w:spacing w:before="0" w:after="100" w:line="240" w:lineRule="auto"/>
        <w:ind w:left="0" w:right="0" w:firstLine="0"/>
        <w:jc w:val="left"/>
      </w:pPr>
      <w:r>
        <w:rPr>
          <w:rStyle w:val="CharStyle28"/>
        </w:rPr>
        <w:t>тел.(495) 784-75-05, вн. 077-216</w:t>
      </w:r>
    </w:p>
    <w:sectPr>
      <w:footnotePr>
        <w:pos w:val="pageBottom"/>
        <w:numFmt w:val="decimal"/>
        <w:numRestart w:val="continuous"/>
      </w:footnotePr>
      <w:type w:val="continuous"/>
      <w:pgSz w:w="11900" w:h="16840"/>
      <w:pgMar w:top="1158" w:right="53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726440</wp:posOffset>
              </wp:positionH>
              <wp:positionV relativeFrom="page">
                <wp:posOffset>10100310</wp:posOffset>
              </wp:positionV>
              <wp:extent cx="722630" cy="103505"/>
              <wp:wrapNone/>
              <wp:docPr id="5" name="Shape 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2025-39563</w:t>
                          </w:r>
                        </w:p>
                      </w:txbxContent>
                    </wps:txbx>
                    <wps:bodyPr wrap="none" lIns="0" tIns="0" rIns="0" bIns="0">
                      <a:spAutoFit/>
                    </wps:bodyPr>
                  </wps:wsp>
                </a:graphicData>
              </a:graphic>
            </wp:anchor>
          </w:drawing>
        </mc:Choice>
        <mc:Fallback>
          <w:pict>
            <v:shape id="_x0000_s1031" type="#_x0000_t202" style="position:absolute;margin-left:57.200000000000003pt;margin-top:795.30000000000007pt;width:56.899999999999999pt;height:8.1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2025-39563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717550</wp:posOffset>
              </wp:positionH>
              <wp:positionV relativeFrom="page">
                <wp:posOffset>10214610</wp:posOffset>
              </wp:positionV>
              <wp:extent cx="734695" cy="128270"/>
              <wp:wrapNone/>
              <wp:docPr id="7" name="Shape 7"/>
              <a:graphic xmlns:a="http://schemas.openxmlformats.org/drawingml/2006/main">
                <a:graphicData uri="http://schemas.microsoft.com/office/word/2010/wordprocessingShape">
                  <wps:wsp>
                    <wps:cNvSpPr txBox="1"/>
                    <wps:spPr>
                      <a:xfrm>
                        <a:ext cx="73469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2025-39563</w:t>
                          </w:r>
                        </w:p>
                      </w:txbxContent>
                    </wps:txbx>
                    <wps:bodyPr wrap="none" lIns="0" tIns="0" rIns="0" bIns="0">
                      <a:spAutoFit/>
                    </wps:bodyPr>
                  </wps:wsp>
                </a:graphicData>
              </a:graphic>
            </wp:anchor>
          </w:drawing>
        </mc:Choice>
        <mc:Fallback>
          <w:pict>
            <v:shape id="_x0000_s1033" type="#_x0000_t202" style="position:absolute;margin-left:56.5pt;margin-top:804.30000000000007pt;width:57.850000000000001pt;height:10.1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2025-39563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10100310</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2025-39563</w:t>
                          </w:r>
                        </w:p>
                      </w:txbxContent>
                    </wps:txbx>
                    <wps:bodyPr wrap="none" lIns="0" tIns="0" rIns="0" bIns="0">
                      <a:spAutoFit/>
                    </wps:bodyPr>
                  </wps:wsp>
                </a:graphicData>
              </a:graphic>
            </wp:anchor>
          </w:drawing>
        </mc:Choice>
        <mc:Fallback>
          <w:pict>
            <v:shape id="_x0000_s1043" type="#_x0000_t202" style="position:absolute;margin-left:57.200000000000003pt;margin-top:795.30000000000007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2025-39563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3887470</wp:posOffset>
              </wp:positionH>
              <wp:positionV relativeFrom="page">
                <wp:posOffset>473075</wp:posOffset>
              </wp:positionV>
              <wp:extent cx="152400" cy="69850"/>
              <wp:wrapNone/>
              <wp:docPr id="3" name="Shape 3"/>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6.10000000000002pt;margin-top:37.25pt;width:12.pt;height:5.5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3888105</wp:posOffset>
              </wp:positionH>
              <wp:positionV relativeFrom="page">
                <wp:posOffset>509270</wp:posOffset>
              </wp:positionV>
              <wp:extent cx="149225" cy="69850"/>
              <wp:wrapNone/>
              <wp:docPr id="13" name="Shape 13"/>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15000000000003pt;margin-top:40.100000000000001pt;width:11.75pt;height:5.5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3887470</wp:posOffset>
              </wp:positionH>
              <wp:positionV relativeFrom="page">
                <wp:posOffset>473075</wp:posOffset>
              </wp:positionV>
              <wp:extent cx="152400" cy="69850"/>
              <wp:wrapNone/>
              <wp:docPr id="15" name="Shape 15"/>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10000000000002pt;margin-top:37.25pt;width:12.pt;height:5.5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8"/>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2)_"/>
    <w:basedOn w:val="DefaultParagraphFont"/>
    <w:link w:val="Style19"/>
    <w:rPr>
      <w:rFonts w:ascii="Arial" w:eastAsia="Arial" w:hAnsi="Arial" w:cs="Arial"/>
      <w:b w:val="0"/>
      <w:bCs w:val="0"/>
      <w:i w:val="0"/>
      <w:iCs w:val="0"/>
      <w:smallCaps w:val="0"/>
      <w:strike w:val="0"/>
      <w:color w:val="424242"/>
      <w:sz w:val="12"/>
      <w:szCs w:val="12"/>
      <w:u w:val="none"/>
    </w:rPr>
  </w:style>
  <w:style w:type="character" w:customStyle="1" w:styleId="CharStyle25">
    <w:name w:val="Body text (4)_"/>
    <w:basedOn w:val="DefaultParagraphFont"/>
    <w:link w:val="Style24"/>
    <w:rPr>
      <w:rFonts w:ascii="Georgia" w:eastAsia="Georgia" w:hAnsi="Georgia" w:cs="Georgia"/>
      <w:b w:val="0"/>
      <w:bCs w:val="0"/>
      <w:i w:val="0"/>
      <w:iCs w:val="0"/>
      <w:smallCaps w:val="0"/>
      <w:strike w:val="0"/>
      <w:color w:val="292929"/>
      <w:sz w:val="11"/>
      <w:szCs w:val="11"/>
      <w:u w:val="none"/>
    </w:rPr>
  </w:style>
  <w:style w:type="character" w:customStyle="1" w:styleId="CharStyle28">
    <w:name w:val="Body text (5)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9">
    <w:name w:val="Heading #1"/>
    <w:basedOn w:val="Normal"/>
    <w:link w:val="CharStyle10"/>
    <w:pPr>
      <w:widowControl w:val="0"/>
      <w:shd w:val="clear" w:color="auto" w:fill="auto"/>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2)"/>
    <w:basedOn w:val="Normal"/>
    <w:link w:val="CharStyle20"/>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4">
    <w:name w:val="Body text (4)"/>
    <w:basedOn w:val="Normal"/>
    <w:link w:val="CharStyle25"/>
    <w:pPr>
      <w:widowControl w:val="0"/>
      <w:shd w:val="clear" w:color="auto" w:fill="auto"/>
      <w:spacing w:after="100"/>
      <w:ind w:left="4460"/>
    </w:pPr>
    <w:rPr>
      <w:rFonts w:ascii="Georgia" w:eastAsia="Georgia" w:hAnsi="Georgia" w:cs="Georgia"/>
      <w:b w:val="0"/>
      <w:bCs w:val="0"/>
      <w:i w:val="0"/>
      <w:iCs w:val="0"/>
      <w:smallCaps w:val="0"/>
      <w:strike w:val="0"/>
      <w:color w:val="292929"/>
      <w:sz w:val="11"/>
      <w:szCs w:val="11"/>
      <w:u w:val="none"/>
    </w:rPr>
  </w:style>
  <w:style w:type="paragraph" w:customStyle="1" w:styleId="Style27">
    <w:name w:val="Body text (5)"/>
    <w:basedOn w:val="Normal"/>
    <w:link w:val="CharStyle28"/>
    <w:pPr>
      <w:widowControl w:val="0"/>
      <w:shd w:val="clear" w:color="auto" w:fill="auto"/>
      <w:spacing w:after="5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