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5791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402" w:bottom="1225" w:left="818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6"/>
        </w:rPr>
        <w:t>тел. (4012) 53-72-01, факс (4012) 53-72-00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rStyle w:val="CharStyle6"/>
          <w:lang w:val="en-US" w:eastAsia="en-US"/>
        </w:rPr>
        <w:t>to39@fas.gov.ru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3.09.2025</w:t>
        <w:tab/>
      </w:r>
      <w:r>
        <w:fldChar w:fldCharType="end"/>
      </w:r>
      <w:r>
        <w:rPr>
          <w:rStyle w:val="CharStyle11"/>
        </w:rPr>
        <w:t>№ ИБ/5401/25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решение по жалобе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Оператор электронной площадки: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  <w:r>
        <w:rPr>
          <w:rStyle w:val="CharStyle14"/>
          <w:lang w:val="en-US" w:eastAsia="en-US"/>
        </w:rPr>
        <w:t>;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  <w:color w:val="000080"/>
          <w:u w:val="single"/>
          <w:lang w:val="en-US" w:eastAsia="en-US"/>
        </w:rPr>
        <w:t>info@rts-tender.ru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Заявитель: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ИП Дубовицкий Антон Алексеевич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"mailto:Antoniys300@yandex.ru" </w:instrText>
      </w:r>
      <w:r>
        <w:fldChar w:fldCharType="separate"/>
      </w:r>
      <w:r>
        <w:rPr>
          <w:rStyle w:val="CharStyle14"/>
          <w:lang w:val="en-US" w:eastAsia="en-US"/>
        </w:rPr>
        <w:t>Antoniys300@yandex.ru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6"/>
          <w:b/>
          <w:bCs/>
        </w:rPr>
        <w:t>Заказчик: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Министерство развития инфраструктуры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Калининградской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1237" w:bottom="1221" w:left="1130" w:header="0" w:footer="3" w:gutter="0"/>
          <w:cols w:num="2" w:space="1018"/>
          <w:noEndnote/>
          <w:rtlGutter w:val="0"/>
          <w:docGrid w:linePitch="360"/>
        </w:sectPr>
      </w:pPr>
      <w:r>
        <w:rPr>
          <w:rStyle w:val="CharStyle14"/>
          <w:lang w:val="en-US" w:eastAsia="en-US"/>
        </w:rPr>
        <w:t>i.kalinin@gov39.ru;</w:t>
      </w:r>
      <w:r>
        <w:fldChar w:fldCharType="begin"/>
      </w:r>
      <w:r>
        <w:rPr/>
        <w:instrText> HYPERLINK "mailto:nedra@gov39.ru" </w:instrText>
      </w:r>
      <w:r>
        <w:fldChar w:fldCharType="separate"/>
      </w:r>
      <w:r>
        <w:rPr>
          <w:rStyle w:val="CharStyle14"/>
          <w:lang w:val="en-US" w:eastAsia="en-US"/>
        </w:rPr>
        <w:t>nedra@gov39.ru</w:t>
      </w:r>
      <w:r>
        <w:fldChar w:fldCharType="end"/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2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8" w:name="bookmark8"/>
      <w:r>
        <w:rPr>
          <w:rStyle w:val="CharStyle16"/>
          <w:b/>
          <w:bCs/>
        </w:rPr>
        <w:t>РЕШЕНИЕ № 039/06/33-875/2025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tabs>
          <w:tab w:pos="9082" w:val="left"/>
        </w:tabs>
        <w:bidi w:val="0"/>
        <w:spacing w:before="0" w:after="0"/>
        <w:ind w:left="0" w:right="0" w:firstLine="0"/>
        <w:jc w:val="left"/>
      </w:pPr>
      <w:r>
        <w:rPr>
          <w:rStyle w:val="CharStyle14"/>
        </w:rPr>
        <w:t>Резолютивная часть объявлена 29.08.2025</w:t>
        <w:tab/>
        <w:t>г. Калининград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14"/>
        </w:rPr>
        <w:t>Изготовлено в полном объеме 03.09.2025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Н.С. Иванова – заместитель руководителя — начальник отдела контроля органов власти, закупок и рекламы Калининградского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О.И. Филатов – ведущий специалист – эксперт отдела контроля органов власти, закупок и рекламы Калининградского УФАС России;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У.Н. Богданова – специалист 1 разряда отдела контроля органов власти, закупок и рекламы Калининградского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при участии представителя заказчика — Министерство развития инфраструктуры Калининградской области: Корнилова А.А. 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rStyle w:val="CharStyle14"/>
        </w:rPr>
        <w:t>в отсутствие заявителя — ИП Дубовицкого Антона Алексеевича,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600"/>
        <w:jc w:val="both"/>
      </w:pPr>
      <w:r>
        <w:rPr>
          <w:rStyle w:val="CharStyle14"/>
        </w:rPr>
        <w:t xml:space="preserve">рассмотрев в режиме видеоконференцсвязи посредством плагина </w:t>
      </w:r>
      <w:r>
        <w:rPr>
          <w:rStyle w:val="CharStyle14"/>
          <w:lang w:val="en-US" w:eastAsia="en-US"/>
        </w:rPr>
        <w:t xml:space="preserve">«TrueConf» </w:t>
      </w:r>
      <w:r>
        <w:rPr>
          <w:rStyle w:val="CharStyle14"/>
        </w:rPr>
        <w:t>жалобу ИП Дубовицкого А.А. (вх. № 6762/25 от 22.08.2025) на действия заказчика — Министерства развития инфраструктуры Калининградской области при осуществлении закупки в соответствии с частью 12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предметом которой является поставка многофункционального устройства (МФУ) (извещение № 0135200001625000010) (далее – закупка), и в результате внеплановой проверки, проведенной в соответствии с частью 15 статьи 99 Закона о контрактной системе,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10" w:name="bookmark10"/>
      <w:r>
        <w:rPr>
          <w:rStyle w:val="CharStyle22"/>
        </w:rPr>
        <w:t>]|||||||||||| НИИ 1111</w:t>
      </w:r>
      <w:bookmarkEnd w:id="10"/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>УСТАНОВИЛА</w:t>
      </w:r>
      <w:bookmarkEnd w:id="1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300" w:right="0" w:firstLine="580"/>
        <w:jc w:val="both"/>
      </w:pPr>
      <w:r>
        <w:rPr>
          <w:rStyle w:val="CharStyle14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14"/>
          <w:lang w:val="en-US" w:eastAsia="en-US"/>
        </w:rPr>
        <w:t xml:space="preserve">22.08.2025 </w:t>
      </w:r>
      <w:r>
        <w:rPr>
          <w:rStyle w:val="CharStyle14"/>
        </w:rPr>
        <w:t>поступила жалоба Заявителя на действия Заказчика при подведении итогов закупки.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2020" w:right="0" w:firstLine="0"/>
        <w:jc w:val="both"/>
      </w:pPr>
      <w:bookmarkStart w:id="14" w:name="bookmark14"/>
      <w:r>
        <w:rPr>
          <w:rStyle w:val="CharStyle16"/>
          <w:b/>
          <w:bCs/>
        </w:rPr>
        <w:t>В обоснование своей жалобы Заявитель привел следующие доводы</w:t>
      </w:r>
      <w:bookmarkEnd w:id="1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300" w:right="0" w:firstLine="580"/>
        <w:jc w:val="both"/>
      </w:pPr>
      <w:r>
        <w:rPr>
          <w:rStyle w:val="CharStyle14"/>
        </w:rPr>
        <w:t>Заявитель полагает, что его заявка необоснованно отклонена от участия в закупке ввиду неуказания максимального срока поставки товаров.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2020" w:right="0" w:firstLine="0"/>
        <w:jc w:val="both"/>
      </w:pPr>
      <w:bookmarkStart w:id="16" w:name="bookmark16"/>
      <w:r>
        <w:rPr>
          <w:rStyle w:val="CharStyle16"/>
          <w:b/>
          <w:bCs/>
        </w:rPr>
        <w:t>Заказчиком даны следующие пояснения по сути жалобы Заявителя</w:t>
      </w:r>
      <w:bookmarkEnd w:id="1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300" w:right="0" w:firstLine="580"/>
        <w:jc w:val="both"/>
      </w:pPr>
      <w:r>
        <w:rPr>
          <w:rStyle w:val="CharStyle14"/>
        </w:rPr>
        <w:t>Заказчик полагает, что в его действиях отсутствуют нарушения, поскольку предложение Заявителя не соответствует требованиям извещения об осуществлении закупки.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300" w:right="0" w:firstLine="580"/>
        <w:jc w:val="both"/>
      </w:pPr>
      <w:bookmarkStart w:id="18" w:name="bookmark18"/>
      <w:r>
        <w:rPr>
          <w:rStyle w:val="CharStyle16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6"/>
          <w:b/>
          <w:bCs/>
          <w:lang w:val="en-US" w:eastAsia="en-US"/>
        </w:rPr>
        <w:t xml:space="preserve">15 </w:t>
      </w:r>
      <w:r>
        <w:rPr>
          <w:rStyle w:val="CharStyle16"/>
          <w:b/>
          <w:bCs/>
        </w:rPr>
        <w:t xml:space="preserve">статьи </w:t>
      </w:r>
      <w:r>
        <w:rPr>
          <w:rStyle w:val="CharStyle16"/>
          <w:b/>
          <w:bCs/>
          <w:lang w:val="en-US" w:eastAsia="en-US"/>
        </w:rPr>
        <w:t xml:space="preserve">99 </w:t>
      </w:r>
      <w:r>
        <w:rPr>
          <w:rStyle w:val="CharStyle16"/>
          <w:b/>
          <w:bCs/>
        </w:rPr>
        <w:t>Закона о контрактной системе внеплановой проверки, Комиссия установила следующее</w:t>
      </w:r>
      <w:bookmarkEnd w:id="1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  <w:lang w:val="en-US" w:eastAsia="en-US"/>
        </w:rPr>
        <w:t xml:space="preserve">21.08.2025 </w:t>
      </w:r>
      <w:r>
        <w:rPr>
          <w:rStyle w:val="CharStyle14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официальный сайт, ЕИС) размещено извещение об осуществлении закупки </w:t>
      </w:r>
      <w:r>
        <w:rPr>
          <w:rStyle w:val="CharStyle14"/>
          <w:lang w:val="en-US" w:eastAsia="en-US"/>
        </w:rPr>
        <w:t xml:space="preserve">№ 0135200001625000010 </w:t>
      </w:r>
      <w:r>
        <w:rPr>
          <w:rStyle w:val="CharStyle14"/>
        </w:rPr>
        <w:t xml:space="preserve">с приложениями. Начальная (максимальная) цена контракта </w:t>
      </w:r>
      <w:r>
        <w:rPr>
          <w:rStyle w:val="CharStyle14"/>
          <w:lang w:val="en-US" w:eastAsia="en-US"/>
        </w:rPr>
        <w:t xml:space="preserve">– 433 000,00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от </w:t>
      </w:r>
      <w:r>
        <w:rPr>
          <w:rStyle w:val="CharStyle14"/>
          <w:lang w:val="en-US" w:eastAsia="en-US"/>
        </w:rPr>
        <w:t xml:space="preserve">21.08.2025 </w:t>
      </w:r>
      <w:r>
        <w:rPr>
          <w:rStyle w:val="CharStyle14"/>
        </w:rPr>
        <w:t xml:space="preserve">по закупке </w:t>
      </w:r>
      <w:r>
        <w:rPr>
          <w:rStyle w:val="CharStyle14"/>
          <w:lang w:val="en-US" w:eastAsia="en-US"/>
        </w:rPr>
        <w:t xml:space="preserve">№ 0135200001625000010, </w:t>
      </w:r>
      <w:r>
        <w:rPr>
          <w:rStyle w:val="CharStyle14"/>
        </w:rPr>
        <w:t xml:space="preserve">Заказчик, рассмотрев заявки </w:t>
      </w:r>
      <w:r>
        <w:rPr>
          <w:rStyle w:val="CharStyle14"/>
          <w:lang w:val="en-US" w:eastAsia="en-US"/>
        </w:rPr>
        <w:t xml:space="preserve">№№ 119487797, 119487798 </w:t>
      </w:r>
      <w:r>
        <w:rPr>
          <w:rStyle w:val="CharStyle14"/>
        </w:rPr>
        <w:t xml:space="preserve">(Заявитель), </w:t>
      </w:r>
      <w:r>
        <w:rPr>
          <w:rStyle w:val="CharStyle14"/>
          <w:lang w:val="en-US" w:eastAsia="en-US"/>
        </w:rPr>
        <w:t xml:space="preserve">119487799, 119487800, 119487802, </w:t>
      </w:r>
      <w:r>
        <w:rPr>
          <w:rStyle w:val="CharStyle14"/>
        </w:rPr>
        <w:t>поступившие на участие в закупке, принял следующие решения: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об отклонении заявок: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  <w:i/>
          <w:iCs/>
          <w:lang w:val="en-US" w:eastAsia="en-US"/>
        </w:rPr>
        <w:t xml:space="preserve">«№ 119487797 – </w:t>
      </w:r>
      <w:r>
        <w:rPr>
          <w:rStyle w:val="CharStyle14"/>
          <w:i/>
          <w:iCs/>
        </w:rPr>
        <w:t xml:space="preserve">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14"/>
          <w:i/>
          <w:iCs/>
          <w:lang w:val="en-US" w:eastAsia="en-US"/>
        </w:rPr>
        <w:t xml:space="preserve">1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31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</w:t>
      </w:r>
      <w:r>
        <w:rPr>
          <w:rStyle w:val="CharStyle14"/>
          <w:i/>
          <w:iCs/>
        </w:rPr>
        <w:t xml:space="preserve">44-ФЗ (Отклонение по п. </w:t>
      </w:r>
      <w:r>
        <w:rPr>
          <w:rStyle w:val="CharStyle14"/>
          <w:i/>
          <w:iCs/>
          <w:lang w:val="en-US" w:eastAsia="en-US"/>
        </w:rPr>
        <w:t xml:space="preserve">3 </w:t>
      </w:r>
      <w:r>
        <w:rPr>
          <w:rStyle w:val="CharStyle14"/>
          <w:i/>
          <w:iCs/>
        </w:rPr>
        <w:t xml:space="preserve">ч. </w:t>
      </w:r>
      <w:r>
        <w:rPr>
          <w:rStyle w:val="CharStyle14"/>
          <w:i/>
          <w:iCs/>
          <w:lang w:val="en-US" w:eastAsia="en-US"/>
        </w:rPr>
        <w:t xml:space="preserve">12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48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</w:t>
      </w:r>
      <w:r>
        <w:rPr>
          <w:rStyle w:val="CharStyle14"/>
          <w:i/>
          <w:iCs/>
        </w:rPr>
        <w:t xml:space="preserve">44-ФЗ), а именно не верно указана характеристика «Время выхода из спящего режима», а также указан срок поставки «от </w:t>
      </w:r>
      <w:r>
        <w:rPr>
          <w:rStyle w:val="CharStyle14"/>
          <w:i/>
          <w:iCs/>
          <w:lang w:val="en-US" w:eastAsia="en-US"/>
        </w:rPr>
        <w:t xml:space="preserve">7 </w:t>
      </w:r>
      <w:r>
        <w:rPr>
          <w:rStyle w:val="CharStyle14"/>
          <w:i/>
          <w:iCs/>
        </w:rPr>
        <w:t xml:space="preserve">дней», максимальный срок поставки не указан. Согласно извещению срок поставки не должен превышать </w:t>
      </w:r>
      <w:r>
        <w:rPr>
          <w:rStyle w:val="CharStyle14"/>
          <w:i/>
          <w:iCs/>
          <w:lang w:val="en-US" w:eastAsia="en-US"/>
        </w:rPr>
        <w:t xml:space="preserve">20 </w:t>
      </w:r>
      <w:r>
        <w:rPr>
          <w:rStyle w:val="CharStyle14"/>
          <w:i/>
          <w:iCs/>
        </w:rPr>
        <w:t>дней;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  <w:i/>
          <w:iCs/>
          <w:lang w:val="en-US" w:eastAsia="en-US"/>
        </w:rPr>
        <w:t xml:space="preserve">№ 119487798 </w:t>
      </w:r>
      <w:r>
        <w:rPr>
          <w:rStyle w:val="CharStyle14"/>
          <w:i/>
          <w:iCs/>
        </w:rPr>
        <w:t xml:space="preserve">(Заявитель) </w:t>
      </w:r>
      <w:r>
        <w:rPr>
          <w:rStyle w:val="CharStyle14"/>
          <w:i/>
          <w:iCs/>
          <w:lang w:val="en-US" w:eastAsia="en-US"/>
        </w:rPr>
        <w:t xml:space="preserve">– </w:t>
      </w:r>
      <w:r>
        <w:rPr>
          <w:rStyle w:val="CharStyle14"/>
          <w:i/>
          <w:iCs/>
        </w:rPr>
        <w:t xml:space="preserve">несоответствие участника закупки требованиям установленным в извещении об осуществлении закупки в соответствии с ч. </w:t>
      </w:r>
      <w:r>
        <w:rPr>
          <w:rStyle w:val="CharStyle14"/>
          <w:i/>
          <w:iCs/>
          <w:lang w:val="en-US" w:eastAsia="en-US"/>
        </w:rPr>
        <w:t xml:space="preserve">1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31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44- </w:t>
      </w:r>
      <w:r>
        <w:rPr>
          <w:rStyle w:val="CharStyle14"/>
          <w:i/>
          <w:iCs/>
        </w:rPr>
        <w:t xml:space="preserve">ФЗ (Отклонение по п. </w:t>
      </w:r>
      <w:r>
        <w:rPr>
          <w:rStyle w:val="CharStyle14"/>
          <w:i/>
          <w:iCs/>
          <w:lang w:val="en-US" w:eastAsia="en-US"/>
        </w:rPr>
        <w:t xml:space="preserve">3 </w:t>
      </w:r>
      <w:r>
        <w:rPr>
          <w:rStyle w:val="CharStyle14"/>
          <w:i/>
          <w:iCs/>
        </w:rPr>
        <w:t xml:space="preserve">ч. </w:t>
      </w:r>
      <w:r>
        <w:rPr>
          <w:rStyle w:val="CharStyle14"/>
          <w:i/>
          <w:iCs/>
          <w:lang w:val="en-US" w:eastAsia="en-US"/>
        </w:rPr>
        <w:t xml:space="preserve">12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48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</w:t>
      </w:r>
      <w:r>
        <w:rPr>
          <w:rStyle w:val="CharStyle14"/>
          <w:i/>
          <w:iCs/>
        </w:rPr>
        <w:t xml:space="preserve">44-ФЗ), а именно указан срок поставки «от </w:t>
      </w:r>
      <w:r>
        <w:rPr>
          <w:rStyle w:val="CharStyle14"/>
          <w:i/>
          <w:iCs/>
          <w:lang w:val="en-US" w:eastAsia="en-US"/>
        </w:rPr>
        <w:t xml:space="preserve">1 </w:t>
      </w:r>
      <w:r>
        <w:rPr>
          <w:rStyle w:val="CharStyle14"/>
          <w:i/>
          <w:iCs/>
        </w:rPr>
        <w:t xml:space="preserve">дня» максимальный срок поставки не указан. Согласно извещению, срок поставки не должен превышать </w:t>
      </w:r>
      <w:r>
        <w:rPr>
          <w:rStyle w:val="CharStyle14"/>
          <w:i/>
          <w:iCs/>
          <w:lang w:val="en-US" w:eastAsia="en-US"/>
        </w:rPr>
        <w:t xml:space="preserve">20 </w:t>
      </w:r>
      <w:r>
        <w:rPr>
          <w:rStyle w:val="CharStyle14"/>
          <w:i/>
          <w:iCs/>
        </w:rPr>
        <w:t>дней;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  <w:i/>
          <w:iCs/>
          <w:lang w:val="en-US" w:eastAsia="en-US"/>
        </w:rPr>
        <w:t xml:space="preserve">№ 119487799 – </w:t>
      </w:r>
      <w:r>
        <w:rPr>
          <w:rStyle w:val="CharStyle14"/>
          <w:i/>
          <w:iCs/>
        </w:rPr>
        <w:t xml:space="preserve">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14"/>
          <w:i/>
          <w:iCs/>
          <w:lang w:val="en-US" w:eastAsia="en-US"/>
        </w:rPr>
        <w:t xml:space="preserve">1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31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</w:t>
      </w:r>
      <w:r>
        <w:rPr>
          <w:rStyle w:val="CharStyle14"/>
          <w:i/>
          <w:iCs/>
        </w:rPr>
        <w:t xml:space="preserve">44-ФЗ (Отклонение по п. </w:t>
      </w:r>
      <w:r>
        <w:rPr>
          <w:rStyle w:val="CharStyle14"/>
          <w:i/>
          <w:iCs/>
          <w:lang w:val="en-US" w:eastAsia="en-US"/>
        </w:rPr>
        <w:t xml:space="preserve">3 </w:t>
      </w:r>
      <w:r>
        <w:rPr>
          <w:rStyle w:val="CharStyle14"/>
          <w:i/>
          <w:iCs/>
        </w:rPr>
        <w:t xml:space="preserve">ч. </w:t>
      </w:r>
      <w:r>
        <w:rPr>
          <w:rStyle w:val="CharStyle14"/>
          <w:i/>
          <w:iCs/>
          <w:lang w:val="en-US" w:eastAsia="en-US"/>
        </w:rPr>
        <w:t xml:space="preserve">12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48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</w:t>
      </w:r>
      <w:r>
        <w:rPr>
          <w:rStyle w:val="CharStyle14"/>
          <w:i/>
          <w:iCs/>
        </w:rPr>
        <w:t xml:space="preserve">44-ФЗ), а именно не верно указана характеристика «Время выхода из спящего режима», а также указан срок поставки «до </w:t>
      </w:r>
      <w:r>
        <w:rPr>
          <w:rStyle w:val="CharStyle14"/>
          <w:i/>
          <w:iCs/>
          <w:lang w:val="en-US" w:eastAsia="en-US"/>
        </w:rPr>
        <w:t xml:space="preserve">30 </w:t>
      </w:r>
      <w:r>
        <w:rPr>
          <w:rStyle w:val="CharStyle14"/>
          <w:i/>
          <w:iCs/>
        </w:rPr>
        <w:t xml:space="preserve">дней». Согласно извещению, срок поставки не должен превышать </w:t>
      </w:r>
      <w:r>
        <w:rPr>
          <w:rStyle w:val="CharStyle14"/>
          <w:i/>
          <w:iCs/>
          <w:lang w:val="en-US" w:eastAsia="en-US"/>
        </w:rPr>
        <w:t xml:space="preserve">20 </w:t>
      </w:r>
      <w:r>
        <w:rPr>
          <w:rStyle w:val="CharStyle14"/>
          <w:i/>
          <w:iCs/>
        </w:rPr>
        <w:t>дней;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300" w:right="0" w:firstLine="580"/>
        <w:jc w:val="both"/>
      </w:pPr>
      <w:r>
        <w:rPr>
          <w:rStyle w:val="CharStyle14"/>
          <w:i/>
          <w:iCs/>
          <w:lang w:val="en-US" w:eastAsia="en-US"/>
        </w:rPr>
        <w:t xml:space="preserve">№ 119487802 – </w:t>
      </w:r>
      <w:r>
        <w:rPr>
          <w:rStyle w:val="CharStyle14"/>
          <w:i/>
          <w:iCs/>
        </w:rPr>
        <w:t xml:space="preserve">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14"/>
          <w:i/>
          <w:iCs/>
          <w:lang w:val="en-US" w:eastAsia="en-US"/>
        </w:rPr>
        <w:t xml:space="preserve">1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31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</w:t>
      </w:r>
      <w:r>
        <w:rPr>
          <w:rStyle w:val="CharStyle14"/>
          <w:i/>
          <w:iCs/>
        </w:rPr>
        <w:t xml:space="preserve">44-ФЗ (Отклонение по п. </w:t>
      </w:r>
      <w:r>
        <w:rPr>
          <w:rStyle w:val="CharStyle14"/>
          <w:i/>
          <w:iCs/>
          <w:lang w:val="en-US" w:eastAsia="en-US"/>
        </w:rPr>
        <w:t xml:space="preserve">3 </w:t>
      </w:r>
      <w:r>
        <w:rPr>
          <w:rStyle w:val="CharStyle14"/>
          <w:i/>
          <w:iCs/>
        </w:rPr>
        <w:t xml:space="preserve">ч. </w:t>
      </w:r>
      <w:r>
        <w:rPr>
          <w:rStyle w:val="CharStyle14"/>
          <w:i/>
          <w:iCs/>
          <w:lang w:val="en-US" w:eastAsia="en-US"/>
        </w:rPr>
        <w:t xml:space="preserve">12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48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</w:t>
      </w:r>
      <w:r>
        <w:rPr>
          <w:rStyle w:val="CharStyle14"/>
          <w:i/>
          <w:iCs/>
        </w:rPr>
        <w:t>44-ФЗ), а именно не верно указана характеристика «Время выхода из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0"/>
        <w:jc w:val="both"/>
      </w:pPr>
      <w:r>
        <w:rPr>
          <w:rStyle w:val="CharStyle14"/>
          <w:i/>
          <w:iCs/>
        </w:rPr>
        <w:t xml:space="preserve">спящего режима», а также указан срок поставки «до </w:t>
      </w:r>
      <w:r>
        <w:rPr>
          <w:rStyle w:val="CharStyle14"/>
          <w:i/>
          <w:iCs/>
          <w:lang w:val="en-US" w:eastAsia="en-US"/>
        </w:rPr>
        <w:t xml:space="preserve">30 </w:t>
      </w:r>
      <w:r>
        <w:rPr>
          <w:rStyle w:val="CharStyle14"/>
          <w:i/>
          <w:iCs/>
        </w:rPr>
        <w:t xml:space="preserve">дней». Согласно извещению, срок поставки не должен превышать </w:t>
      </w:r>
      <w:r>
        <w:rPr>
          <w:rStyle w:val="CharStyle14"/>
          <w:i/>
          <w:iCs/>
          <w:lang w:val="en-US" w:eastAsia="en-US"/>
        </w:rPr>
        <w:t xml:space="preserve">20 </w:t>
      </w:r>
      <w:r>
        <w:rPr>
          <w:rStyle w:val="CharStyle14"/>
          <w:i/>
          <w:iCs/>
        </w:rPr>
        <w:t>дней»,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80"/>
        <w:jc w:val="both"/>
      </w:pPr>
      <w:r>
        <w:rPr>
          <w:rStyle w:val="CharStyle14"/>
        </w:rPr>
        <w:t xml:space="preserve">о соответствие требованиям заявки </w:t>
      </w:r>
      <w:r>
        <w:rPr>
          <w:rStyle w:val="CharStyle14"/>
          <w:lang w:val="en-US" w:eastAsia="en-US"/>
        </w:rPr>
        <w:t>119487800.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Комиссией установлено, что из пяти заявок, поступивших на участие в закупке, четыре заявки с идентификационными номерами: </w:t>
      </w:r>
      <w:r>
        <w:rPr>
          <w:rStyle w:val="CharStyle14"/>
          <w:lang w:val="en-US" w:eastAsia="en-US"/>
        </w:rPr>
        <w:t xml:space="preserve">119487797, 119487798 </w:t>
      </w:r>
      <w:r>
        <w:rPr>
          <w:rStyle w:val="CharStyle14"/>
        </w:rPr>
        <w:t xml:space="preserve">(Заявитель), </w:t>
      </w:r>
      <w:r>
        <w:rPr>
          <w:rStyle w:val="CharStyle14"/>
          <w:lang w:val="en-US" w:eastAsia="en-US"/>
        </w:rPr>
        <w:t xml:space="preserve">119487799, 119487802 </w:t>
      </w:r>
      <w:r>
        <w:rPr>
          <w:rStyle w:val="CharStyle14"/>
        </w:rPr>
        <w:t>были и отклонены в связи с несоответствием сроку, установленному в извещении.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Согласно извещению об осуществлении закупки, срок поставки товара составляет </w:t>
      </w:r>
      <w:r>
        <w:rPr>
          <w:rStyle w:val="CharStyle14"/>
          <w:lang w:val="en-US" w:eastAsia="en-US"/>
        </w:rPr>
        <w:t xml:space="preserve">20 </w:t>
      </w:r>
      <w:r>
        <w:rPr>
          <w:rStyle w:val="CharStyle14"/>
        </w:rPr>
        <w:t>календарных дней.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На заседании представитель Заказчика пояснил, что на электронной площадке в заявке Заявителя указан срок поставки от одного дня, но без указания максимального срока.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Комиссия, рассмотрев представленные материалы и выслушав доводы представителей сторон, приходит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В соответствии с подпунктом </w:t>
      </w:r>
      <w:r>
        <w:rPr>
          <w:rStyle w:val="CharStyle14"/>
          <w:b/>
          <w:bCs/>
        </w:rPr>
        <w:t xml:space="preserve">«л» </w:t>
      </w:r>
      <w:r>
        <w:rPr>
          <w:rStyle w:val="CharStyle14"/>
        </w:rPr>
        <w:t xml:space="preserve">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Закона о контрактной системе закупка товара в соответствии с настоящей частью осуществляется в следующем порядке: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3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</w:t>
      </w:r>
      <w:r>
        <w:rPr>
          <w:rStyle w:val="CharStyle14"/>
          <w:b/>
          <w:bCs/>
        </w:rPr>
        <w:t xml:space="preserve">предварительное предложение о поставке товаров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предварительное предложение), </w:t>
      </w:r>
      <w:r>
        <w:rPr>
          <w:rStyle w:val="CharStyle14"/>
          <w:b/>
          <w:bCs/>
        </w:rPr>
        <w:t>содержащее в отношении каждого товара</w:t>
      </w:r>
      <w:r>
        <w:rPr>
          <w:rStyle w:val="CharStyle14"/>
        </w:rPr>
        <w:t>, предлагаемого таким участником закупки к поставкам: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  <w:b/>
          <w:bCs/>
        </w:rPr>
        <w:t xml:space="preserve">л) </w:t>
      </w:r>
      <w:r>
        <w:rPr>
          <w:rStyle w:val="CharStyle14"/>
        </w:rPr>
        <w:t xml:space="preserve">минимальный (минимальные) срок (сроки) и (или) максимальный (максимальные) срок (сроки) поставки товара с учетом предусмотренных подпунктами «ж» и «з»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поставкам.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днях. При этом неуказание в соответствии с настоящим подпунктом минимального (минимальных) или максимального (максимальных) срока (сроков) означает согласие участника закупки со сроком поставки товара, предусмотренным в извещении об осуществлении закупки в соответствии с подпунктом «в» пункта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настоящей части.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В соответствии с подпунктом «а» пункта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 xml:space="preserve">Закона о контрактной системе не позднее одного рабочего дня со дня, следующего за днем получения информации и документов, предусмотренных подпунктом «в»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настоящей части, 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а) принимает в отношении каждой заявки решение 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непредставления информации и документов, </w:t>
      </w:r>
      <w:r>
        <w:rPr>
          <w:rStyle w:val="CharStyle14"/>
          <w:b/>
          <w:bCs/>
        </w:rPr>
        <w:t xml:space="preserve">предусмотренных подпунктом «в» пункта </w:t>
      </w:r>
      <w:r>
        <w:rPr>
          <w:rStyle w:val="CharStyle14"/>
          <w:b/>
          <w:bCs/>
          <w:lang w:val="en-US" w:eastAsia="en-US"/>
        </w:rPr>
        <w:t xml:space="preserve">5 </w:t>
      </w:r>
      <w:r>
        <w:rPr>
          <w:rStyle w:val="CharStyle14"/>
          <w:b/>
          <w:bCs/>
        </w:rPr>
        <w:t>настоящей части, несоответствия таких информации и документов требованиям, установленным в извещении об осуществлении закупки</w:t>
      </w:r>
      <w:r>
        <w:rPr>
          <w:rStyle w:val="CharStyle14"/>
        </w:rPr>
        <w:t xml:space="preserve">, либо в случаях, предусмотренных пунктами </w:t>
      </w:r>
      <w:r>
        <w:rPr>
          <w:rStyle w:val="CharStyle14"/>
          <w:lang w:val="en-US" w:eastAsia="en-US"/>
        </w:rPr>
        <w:t xml:space="preserve">3 - 6,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Согласно подпункту «в»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 xml:space="preserve">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>настоящей части с использованием электронной площадки: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в) направляет заказчику заявки на участие в закупке (с указанием присвоенных в соответствии с подпунктом «б» настоящего пункта порядковых номеров), предусмотренные подпунктом «а» настоящего пункта </w:t>
      </w:r>
      <w:r>
        <w:rPr>
          <w:rStyle w:val="CharStyle14"/>
          <w:b/>
          <w:bCs/>
        </w:rPr>
        <w:t xml:space="preserve">и содержащие информацию и документы, предусмотренные подпунктами «а» </w:t>
      </w:r>
      <w:r>
        <w:rPr>
          <w:rStyle w:val="CharStyle14"/>
          <w:b/>
          <w:bCs/>
          <w:lang w:val="en-US" w:eastAsia="en-US"/>
        </w:rPr>
        <w:t xml:space="preserve">- </w:t>
      </w:r>
      <w:r>
        <w:rPr>
          <w:rStyle w:val="CharStyle14"/>
          <w:b/>
          <w:bCs/>
        </w:rPr>
        <w:t xml:space="preserve">«е» и «к» пункта </w:t>
      </w:r>
      <w:r>
        <w:rPr>
          <w:rStyle w:val="CharStyle14"/>
          <w:b/>
          <w:bCs/>
          <w:lang w:val="en-US" w:eastAsia="en-US"/>
        </w:rPr>
        <w:t xml:space="preserve">1 </w:t>
      </w:r>
      <w:r>
        <w:rPr>
          <w:rStyle w:val="CharStyle14"/>
          <w:b/>
          <w:bCs/>
        </w:rPr>
        <w:t>настоящей части</w:t>
      </w:r>
      <w:r>
        <w:rPr>
          <w:rStyle w:val="CharStyle14"/>
        </w:rPr>
        <w:t xml:space="preserve">,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К информации, предусмотренной подпунктами «а»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«е» и «к»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Закона о контрактной системе, относится: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03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наименование товара и его характеристики с использованием каталога товаров, работ, услуг для обеспечения государственных и муниципальных нужд;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4" w:val="left"/>
        </w:tabs>
        <w:bidi w:val="0"/>
        <w:spacing w:before="0" w:after="0"/>
        <w:ind w:left="0" w:right="0" w:firstLine="880"/>
        <w:jc w:val="both"/>
      </w:pPr>
      <w:r>
        <w:rPr>
          <w:rStyle w:val="CharStyle14"/>
        </w:rPr>
        <w:t>товарный знак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4" w:val="left"/>
        </w:tabs>
        <w:bidi w:val="0"/>
        <w:spacing w:before="0" w:after="60"/>
        <w:ind w:left="0" w:right="0" w:firstLine="880"/>
        <w:jc w:val="both"/>
      </w:pPr>
      <w:r>
        <w:rPr>
          <w:rStyle w:val="CharStyle14"/>
        </w:rPr>
        <w:t>наименование страны происхождения товара;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3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информация и документы, определенные в соответствии с 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закона. В случае отсутствия этих информации и документов данный товар приравнивается к товару, происходящему из иностранного государства;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2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единица измерения товара по общероссийскому классификатору, используемому для количественной оценки технико-экономических и социальных показателей;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03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цена (цены) единицы товара с учетом стоимости доставки, налогов, сборов и иных обязательных платежей, предусмотренных подпунктами «ж» и «з»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08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информация и документы, предусмотренные подпунктами «н»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«п»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Комиссия отмечает, что пункт «л»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 xml:space="preserve">Закона о контрактной системе, регламентирующий право указания в предварительном предложении о поставке товара срока поставки товара, не относится к информации, которую заказчик рассматривает в соответствии с подпунктом «а» пункта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Закона о контрактной системе, следовательно, отклонять заявку по данному основанию заказчик не вправе.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Также необходимо отметить, что при проведении закупок в соответствии с частью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 xml:space="preserve">Закона о контрактной системе участники закупки не знакомятся с извещением о закупке и приложенными к нему документами с целью последующего заполнения заявок, поскольку, как следует из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Закона о контрактной системе, предварительные предложения отбираются оператором электронной площадки посредством механического сопоставления параметров, указанных заказчиком в извещении о закупке с использованием КТРУ в структурированном виде, с параметрами, отраженными в предварительном предложении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На основании изложенных обстоятельств Комиссия приходит к выводу, что действия Заказчика по факту отклонения заявки Заявителя, а также заявок с идентификационными номерами: </w:t>
      </w:r>
      <w:r>
        <w:rPr>
          <w:rStyle w:val="CharStyle14"/>
          <w:lang w:val="en-US" w:eastAsia="en-US"/>
        </w:rPr>
        <w:t xml:space="preserve">119487797, 119487799, 119487802 </w:t>
      </w:r>
      <w:r>
        <w:rPr>
          <w:rStyle w:val="CharStyle14"/>
        </w:rPr>
        <w:t xml:space="preserve">нарушают требования подпункта «а» пункта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Учитывая тот факт, что допущенные Заказчиком нарушения при подведении итогов затрагивают права и законные интересы Заявителя и других участников закупки, Комиссия приходит к выводу о наличии в рассматриваемом случае оснований для выдачи обязательного для исполнения предписания об устранении выявленного нарушения Закона о контрактной системе.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300" w:right="0" w:firstLine="580"/>
        <w:jc w:val="both"/>
      </w:pPr>
      <w:r>
        <w:rPr>
          <w:rStyle w:val="CharStyle14"/>
        </w:rPr>
        <w:t xml:space="preserve">В связи с изложенным, руководствуясь частями </w:t>
      </w:r>
      <w:r>
        <w:rPr>
          <w:rStyle w:val="CharStyle14"/>
          <w:lang w:val="en-US" w:eastAsia="en-US"/>
        </w:rPr>
        <w:t xml:space="preserve">1, 4, 7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105,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Комиссия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20" w:name="bookmark20"/>
      <w:r>
        <w:rPr>
          <w:rStyle w:val="CharStyle16"/>
          <w:b/>
          <w:bCs/>
        </w:rPr>
        <w:t>РЕШИЛА:</w:t>
      </w:r>
      <w:bookmarkEnd w:id="20"/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62" w:val="left"/>
        </w:tabs>
        <w:bidi w:val="0"/>
        <w:spacing w:before="0" w:after="0"/>
        <w:ind w:left="0" w:right="0" w:firstLine="880"/>
        <w:jc w:val="both"/>
      </w:pPr>
      <w:r>
        <w:rPr>
          <w:rStyle w:val="CharStyle14"/>
        </w:rPr>
        <w:t>Признать жалобу ИП Дубовицкого А.А.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9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 xml:space="preserve">Признать заказчика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Министерство развития инфраструктуры Калининградской области нарушившим подпункт «а» пункта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49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Выдать предписание об устранении выявленного нарушения Закона о контрактной системе не выдавать.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58" w:val="left"/>
        </w:tabs>
        <w:bidi w:val="0"/>
        <w:spacing w:before="0" w:after="0"/>
        <w:ind w:left="300" w:right="0" w:firstLine="580"/>
        <w:jc w:val="both"/>
      </w:pPr>
      <w:r>
        <w:rPr>
          <w:rStyle w:val="CharStyle14"/>
        </w:rPr>
        <w:t>Передать материалы дела должностному лицу Калининградского УФАС России для решения вопроса о привлечении лиц, допустивших нарушение Закона о контрактной системе, к административной ответственности.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402" w:bottom="1222" w:left="81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71475" distL="0" distR="0" simplePos="0" relativeHeight="125829378" behindDoc="0" locked="0" layoutInCell="1" allowOverlap="1">
                <wp:simplePos x="0" y="0"/>
                <wp:positionH relativeFrom="page">
                  <wp:posOffset>1098550</wp:posOffset>
                </wp:positionH>
                <wp:positionV relativeFrom="paragraph">
                  <wp:posOffset>342900</wp:posOffset>
                </wp:positionV>
                <wp:extent cx="1554480" cy="21971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6.5pt;margin-top:27.pt;width:122.40000000000001pt;height:17.300000000000001pt;z-index:-125829375;mso-wrap-distance-left:0;mso-wrap-distance-top:2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0210" distB="0" distL="0" distR="1786255" simplePos="0" relativeHeight="125829380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410210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818515</wp:posOffset>
                </wp:positionV>
                <wp:extent cx="1283335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0000000000001pt;margin-top:64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501650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25pt;margin-top:39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71475" distL="0" distR="0" simplePos="0" relativeHeight="125829381" behindDoc="0" locked="0" layoutInCell="1" allowOverlap="1">
                <wp:simplePos x="0" y="0"/>
                <wp:positionH relativeFrom="page">
                  <wp:posOffset>6234430</wp:posOffset>
                </wp:positionH>
                <wp:positionV relativeFrom="paragraph">
                  <wp:posOffset>342900</wp:posOffset>
                </wp:positionV>
                <wp:extent cx="951230" cy="2197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0.90000000000003pt;margin-top:27.pt;width:74.900000000000006pt;height:17.300000000000001pt;z-index:-125829372;mso-wrap-distance-left:0;mso-wrap-distance-top:27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Болтенко Ирина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color w:val="5D5D5D"/>
        </w:rPr>
        <w:t>008В</w:t>
      </w:r>
      <w:r>
        <w:rPr>
          <w:rStyle w:val="CharStyle26"/>
          <w:color w:val="292929"/>
        </w:rPr>
        <w:t>1</w:t>
      </w:r>
      <w:r>
        <w:rPr>
          <w:rStyle w:val="CharStyle26"/>
          <w:lang w:val="en-US" w:eastAsia="en-US"/>
        </w:rPr>
        <w:t>E7CFCF6B0EBAD79E94A6AF4AA9F9</w:t>
      </w:r>
      <w:r>
        <w:rPr>
          <w:rStyle w:val="CharStyle26"/>
          <w:lang w:val="en-US" w:eastAsia="en-US"/>
        </w:rPr>
        <w:t>'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rStyle w:val="CharStyle26"/>
        </w:rPr>
        <w:t xml:space="preserve">Действителен с 17.10.2024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10.01.2026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64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50800</wp:posOffset>
            </wp:positionV>
            <wp:extent cx="359410" cy="52451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455930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40000000000001pt;margin-top:35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25pt;margin-top:10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О.И. Филатов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Филатов Олег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00D934723516D2846B0705EBED9EFE2F85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rStyle w:val="CharStyle26"/>
        </w:rPr>
        <w:t xml:space="preserve">Действителен с 31.03.2025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24.06.2026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25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У.Н. Богданова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1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Богданова Ульяна Николаевна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572B40FCC26CD8BCD77EE78F53838BA5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right="0" w:firstLine="0"/>
        <w:jc w:val="left"/>
      </w:pPr>
      <w:r>
        <w:rPr>
          <w:rStyle w:val="CharStyle26"/>
        </w:rPr>
        <w:t xml:space="preserve">Действителен с 13.11.2024 </w:t>
      </w:r>
      <w:r>
        <w:rPr>
          <w:rStyle w:val="CharStyle26"/>
          <w:color w:val="5D5D5D"/>
        </w:rPr>
        <w:t xml:space="preserve">по </w:t>
      </w:r>
      <w:r>
        <w:rPr>
          <w:rStyle w:val="CharStyle26"/>
        </w:rPr>
        <w:t>06.02.2026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580"/>
        <w:jc w:val="left"/>
      </w:pPr>
      <w:r>
        <w:rPr>
          <w:rStyle w:val="CharStyle14"/>
        </w:rPr>
        <w:t>В соответствии с частью 9 статьи 106 Закона о контрактной системе, решение может быть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6" w:right="546" w:bottom="126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10010140</wp:posOffset>
              </wp:positionV>
              <wp:extent cx="326771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2025-5596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88.20000000000005pt;width:257.30000000000001pt;height:10.1pt;z-index:-1887440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2025-5596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2025-5596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85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2025-5596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0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31">
    <w:name w:val="Body text (4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spacing w:after="280" w:line="276" w:lineRule="auto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480"/>
      <w:ind w:firstLine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30">
    <w:name w:val="Body text (4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