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02.09.2025</w:t>
        <w:tab/>
      </w:r>
      <w:r>
        <w:fldChar w:fldCharType="end"/>
      </w:r>
      <w:r>
        <w:rPr>
          <w:rStyle w:val="CharStyle10"/>
        </w:rPr>
        <w:t>№ 35193/25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 xml:space="preserve">ФГБУ «РНЦРР» Минздрава России </w:t>
      </w:r>
      <w:r>
        <w:fldChar w:fldCharType="begin"/>
      </w:r>
      <w:r>
        <w:rPr/>
        <w:instrText> HYPERLINK "mailto:torgirncrr@gmail.com" </w:instrText>
      </w:r>
      <w:r>
        <w:fldChar w:fldCharType="separate"/>
      </w:r>
      <w:r>
        <w:rPr>
          <w:rStyle w:val="CharStyle12"/>
          <w:lang w:val="en-US" w:eastAsia="en-US"/>
        </w:rPr>
        <w:t>torgirncrr@gmail.com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ООО «ПИЛОТ ГРУПП»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"mailto:info@pgmed.ru" </w:instrText>
      </w:r>
      <w:r>
        <w:fldChar w:fldCharType="separate"/>
      </w:r>
      <w:r>
        <w:rPr>
          <w:rStyle w:val="CharStyle12"/>
          <w:lang w:val="en-US" w:eastAsia="en-US"/>
        </w:rPr>
        <w:t>info@pgmed.ru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189" w:bottom="584" w:left="1265" w:header="0" w:footer="3" w:gutter="0"/>
          <w:pgNumType w:start="1"/>
          <w:cols w:num="2" w:space="720" w:equalWidth="0">
            <w:col w:w="3835" w:space="1306"/>
            <w:col w:w="4306"/>
          </w:cols>
          <w:noEndnote/>
          <w:rtlGutter w:val="0"/>
          <w:docGrid w:linePitch="360"/>
        </w:sectPr>
      </w:pPr>
      <w:r>
        <w:rPr>
          <w:rStyle w:val="CharStyle12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5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077/06/106-10660/2025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29.08.2025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ФГБУ «РНЦРР» Минздрава России: Ю.И. Димитриевой (дов. </w:t>
      </w:r>
      <w:r>
        <w:rPr>
          <w:rStyle w:val="CharStyle12"/>
          <w:lang w:val="en-US" w:eastAsia="en-US"/>
        </w:rPr>
        <w:t xml:space="preserve">№ 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02.11.2023), </w:t>
      </w:r>
      <w:r>
        <w:rPr>
          <w:rStyle w:val="CharStyle12"/>
        </w:rPr>
        <w:t xml:space="preserve">В.Б. Ким (дов. </w:t>
      </w:r>
      <w:r>
        <w:rPr>
          <w:rStyle w:val="CharStyle12"/>
          <w:lang w:val="en-US" w:eastAsia="en-US"/>
        </w:rPr>
        <w:t xml:space="preserve">№ 10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18.11.2023),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отсутствии представителей ООО «ПИЛОТ ГРУПП»,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жалобу ООО «ПИЛОТ ГРУПП»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«РНЦРР» Минздрава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 (Закупка </w:t>
      </w:r>
      <w:r>
        <w:rPr>
          <w:rStyle w:val="CharStyle12"/>
          <w:lang w:val="en-US" w:eastAsia="en-US"/>
        </w:rPr>
        <w:t xml:space="preserve">№ 0373100032625000294)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6" w:bottom="584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5"/>
        </w:rPr>
        <w:t>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18.08.2025 </w:t>
      </w:r>
      <w:r>
        <w:rPr>
          <w:rStyle w:val="CharStyle12"/>
        </w:rPr>
        <w:t xml:space="preserve">№ИЭА1 заявка Заявителя (идентификационный номер заявки </w:t>
      </w:r>
      <w:r>
        <w:rPr>
          <w:rStyle w:val="CharStyle12"/>
          <w:lang w:val="en-US" w:eastAsia="en-US"/>
        </w:rPr>
        <w:t xml:space="preserve">2238382) </w:t>
      </w:r>
      <w:r>
        <w:rPr>
          <w:rStyle w:val="CharStyle12"/>
        </w:rPr>
        <w:t xml:space="preserve">отклонена на следующем основании: </w:t>
      </w:r>
      <w:r>
        <w:rPr>
          <w:rStyle w:val="CharStyle12"/>
          <w:i/>
          <w:iCs/>
        </w:rPr>
        <w:t xml:space="preserve">«Отклонить заявку на участие в закупке по п.8 ч.12 ст.48 №44-ФЗ «Выявление недостоверной информации, содержащейся в заявке на участие в закупке» участник закупки предоставил недостоверную информацию в части совместимости предлагаемых для поставки медицинских изделий со степлерами </w:t>
      </w:r>
      <w:r>
        <w:rPr>
          <w:rStyle w:val="CharStyle12"/>
          <w:i/>
          <w:iCs/>
          <w:lang w:val="en-US" w:eastAsia="en-US"/>
        </w:rPr>
        <w:t xml:space="preserve">MIRUS , </w:t>
      </w:r>
      <w:r>
        <w:rPr>
          <w:rStyle w:val="CharStyle12"/>
          <w:i/>
          <w:iCs/>
        </w:rPr>
        <w:t>имеющихся у заказчика».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Комиссией Управления установлено, что Заказчиком в структурированной форме извещения установлены требования к закупаемым товарам, в частности: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«Скоба хирургическая, нерассасывающаяся. Идентификатор: </w:t>
      </w:r>
      <w:r>
        <w:rPr>
          <w:rStyle w:val="CharStyle12"/>
          <w:lang w:val="en-US" w:eastAsia="en-US"/>
        </w:rPr>
        <w:t xml:space="preserve">188450946»: </w:t>
      </w:r>
      <w:r>
        <w:rPr>
          <w:rStyle w:val="CharStyle12"/>
        </w:rPr>
        <w:t xml:space="preserve">«Для степлера линейного для эндоскопических операций </w:t>
      </w:r>
      <w:r>
        <w:rPr>
          <w:rStyle w:val="CharStyle12"/>
          <w:lang w:val="en-US" w:eastAsia="en-US"/>
        </w:rPr>
        <w:t xml:space="preserve">MIRUS: </w:t>
      </w:r>
      <w:r>
        <w:rPr>
          <w:rStyle w:val="CharStyle12"/>
        </w:rPr>
        <w:t>Соответствие».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«Описанию объекта закупки и требованиям к содержанию, составу заявки на участие в закупке в соответствии с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44-ФЗ» Заказчиком установлены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12"/>
        </w:rPr>
        <w:t xml:space="preserve">требования к содержанию, составу заявки на участие в электронном аукционе, в частности: </w:t>
      </w:r>
      <w:r>
        <w:rPr>
          <w:rStyle w:val="CharStyle12"/>
          <w:i/>
          <w:iCs/>
        </w:rPr>
        <w:t xml:space="preserve">«характеристики предлагаемого участником закупки товара соответствующие показателям, установленным в описании объекта закупки в соответствии с частью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33 № </w:t>
      </w:r>
      <w:r>
        <w:rPr>
          <w:rStyle w:val="CharStyle12"/>
          <w:i/>
          <w:iCs/>
        </w:rPr>
        <w:t>44-ФЗ, товарный знак (при наличии у товара товарного знака)».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 предложение по критериям, предусмотренным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(или)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составе заявки Заявитель представил сведения об объекте закупки в соответствии с описанием объекта закупки, размещённому в извещении, в частности: по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«Скоба хирургическая, нерассасывающаяся»: «Для степлера линейного для эндоскопических операций </w:t>
      </w:r>
      <w:r>
        <w:rPr>
          <w:rStyle w:val="CharStyle12"/>
          <w:lang w:val="en-US" w:eastAsia="en-US"/>
        </w:rPr>
        <w:t xml:space="preserve">MIRUS: </w:t>
      </w:r>
      <w:r>
        <w:rPr>
          <w:rStyle w:val="CharStyle12"/>
        </w:rPr>
        <w:t xml:space="preserve">Соответствие», что соответствует требованиям извещения, а также приложил регистрационное удостоверение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2024/23547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09.09.2024 </w:t>
      </w:r>
      <w:r>
        <w:rPr>
          <w:rStyle w:val="CharStyle12"/>
        </w:rPr>
        <w:t>на «Степлер одноразовый, в наборе», производителя «Вухи Беиен Сургеры Девице Цо., Лтд», Китай.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для поставки Заявителем предложен товар: «Степлер одноразовый в наборе», производителя «Вухи Беиен Сургеры Девице Цо., Лтд», Китай, РУ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2024/23547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09.09.2024, </w:t>
      </w:r>
      <w:r>
        <w:rPr>
          <w:rStyle w:val="CharStyle12"/>
        </w:rPr>
        <w:t>при этом в заявке продекларировано соответствие совместимости.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Вместе с тем инструкция, размещенная на сайте Росздравнадзора, на предлагаемое к поставке изделие не содержит информации о возможности использования их со степлерами </w:t>
      </w:r>
      <w:r>
        <w:rPr>
          <w:rStyle w:val="CharStyle12"/>
          <w:lang w:val="en-US" w:eastAsia="en-US"/>
        </w:rPr>
        <w:t xml:space="preserve">MIRUS. </w:t>
      </w:r>
      <w:r>
        <w:rPr>
          <w:rStyle w:val="CharStyle12"/>
        </w:rPr>
        <w:t xml:space="preserve">При этом на стр. </w:t>
      </w:r>
      <w:r>
        <w:rPr>
          <w:rStyle w:val="CharStyle12"/>
          <w:lang w:val="en-US" w:eastAsia="en-US"/>
        </w:rPr>
        <w:t xml:space="preserve">74 </w:t>
      </w:r>
      <w:r>
        <w:rPr>
          <w:rStyle w:val="CharStyle12"/>
        </w:rPr>
        <w:t>указано: «При одновременном использовании разных эндоскопических инструментов от разных производителей в эндоскопической процедуре, проверьте, не нарушена ли совместимость».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Инструкция, размещенная на сайте Росздравнадзора, на степлер индийского производства </w:t>
      </w:r>
      <w:r>
        <w:rPr>
          <w:rStyle w:val="CharStyle12"/>
          <w:lang w:val="en-US" w:eastAsia="en-US"/>
        </w:rPr>
        <w:t xml:space="preserve">MIRUS </w:t>
      </w:r>
      <w:r>
        <w:rPr>
          <w:rStyle w:val="CharStyle12"/>
        </w:rPr>
        <w:t xml:space="preserve">РУ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2024/22234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19.03.2024 </w:t>
      </w:r>
      <w:r>
        <w:rPr>
          <w:rStyle w:val="CharStyle12"/>
        </w:rPr>
        <w:t>также не содержит информации о возможности использования неоригинальных расходных материалов.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Кроме того, в соответствии с письмом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 xml:space="preserve">06.08.2025 </w:t>
      </w:r>
      <w:r>
        <w:rPr>
          <w:rStyle w:val="CharStyle12"/>
        </w:rPr>
        <w:t xml:space="preserve">индийский производитель не подтвердил совместимость степлеров производства «Мерил Эндо Серджери Прайвит Лимитед» с регистрационным удостоверением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2024/22234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19.03.2024 </w:t>
      </w:r>
      <w:r>
        <w:rPr>
          <w:rStyle w:val="CharStyle12"/>
        </w:rPr>
        <w:t>со степлерами иных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На заседании Комиссии Управления представитель Заявителя отсутствовал, при этом согласно доводам жалобы предложенный Заявителем товар производителя «Вухи Беиен Сургеры Девице Цо., Лтд» согласно регистрационному удостоверению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2024/23547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09.09.2024 </w:t>
      </w:r>
      <w:r>
        <w:rPr>
          <w:rStyle w:val="CharStyle12"/>
        </w:rPr>
        <w:t>полностью соответствует товару, необходимому Заказчику, и имеет указанные в заявке характеристики.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При этом указание совместимости с теми или иными устройствами, зарегистрированными на российском рынке, не предусмотрено в качестве обязательной характеристики, отражаемой в инструкции по применению медицинских изделий, согласно актуальной редакции порядка государственной регистрации утвержденного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30.11.2024 № 1684 </w:t>
      </w:r>
      <w:r>
        <w:rPr>
          <w:rStyle w:val="CharStyle12"/>
        </w:rPr>
        <w:t xml:space="preserve">«Об утверждении Правил государственной регистрации медицинских изделий». В связи с этим прямое указание совместимости отсутствует в инструкции по применению, прилагаемой к комплекту регистрационной документации на медицинское изделие «Степлер одноразовый, в наборе», РУ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2024/23547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09.09.2024.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Кроме того, Заявитель в жалобе обращает внимание, что на стр. </w:t>
      </w:r>
      <w:r>
        <w:rPr>
          <w:rStyle w:val="CharStyle12"/>
          <w:lang w:val="en-US" w:eastAsia="en-US"/>
        </w:rPr>
        <w:t xml:space="preserve">26, 76, 77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80 </w:t>
      </w:r>
      <w:r>
        <w:rPr>
          <w:rStyle w:val="CharStyle12"/>
        </w:rPr>
        <w:t>инструкции по применению отражается необходимость перед применением убедиться в совместимости инструментов, принадлежностей и сменных составляющих разных изготовителей, однако в указанной инструкции отсутствует информация о невозможности или запрете использования, предложенного товара с аппаратами Заказчика. Также 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12"/>
        </w:rPr>
        <w:t>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 в том числе при исполнении контрольных функций.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В свою очередь, Комиссией Управления установлено, что в инструкции на степлер линейный для эндоскопических операций </w:t>
      </w:r>
      <w:r>
        <w:rPr>
          <w:rStyle w:val="CharStyle12"/>
          <w:lang w:val="en-US" w:eastAsia="en-US"/>
        </w:rPr>
        <w:t xml:space="preserve">MIRUS, </w:t>
      </w:r>
      <w:r>
        <w:rPr>
          <w:rStyle w:val="CharStyle12"/>
        </w:rPr>
        <w:t xml:space="preserve">находящийся у Заказчика на балансе, по регистрационному удостоверению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2024/22234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19.03.2024 </w:t>
      </w:r>
      <w:r>
        <w:rPr>
          <w:rStyle w:val="CharStyle12"/>
        </w:rPr>
        <w:t>отсутствует указание на то, что с данным степлером запрещается использовать скобы хирургические, нерассасывающиеся иных производителей, помимо производителя «Мэрил Эндо Серджери Прайвит Лимитед», при этом в инструкции указаны исключительно характеристики материала скобок без установления запрета по использованию скобок других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Вместе с этим Комиссия Управления отмечает, что в составе заявки Заявителя представлены сведения на предлагаемый к поставке товар в соответствии с требованиями Технического задания, в частности указано соответствие о совместимости со степлером линейным для эндоскопических операций </w:t>
      </w:r>
      <w:r>
        <w:rPr>
          <w:rStyle w:val="CharStyle12"/>
          <w:lang w:val="en-US" w:eastAsia="en-US"/>
        </w:rPr>
        <w:t xml:space="preserve">MIRUS, </w:t>
      </w:r>
      <w:r>
        <w:rPr>
          <w:rStyle w:val="CharStyle12"/>
        </w:rPr>
        <w:t xml:space="preserve">при этом в инструкции, размещенной на сайте Росздравнадзора, по регистрационному удостоверению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2024/23547 </w:t>
      </w:r>
      <w:r>
        <w:rPr>
          <w:rStyle w:val="CharStyle12"/>
        </w:rPr>
        <w:t xml:space="preserve">также отсутствует запрет по использованию данных медицинских изделий со степлером линейным для эндоскопических операций </w:t>
      </w:r>
      <w:r>
        <w:rPr>
          <w:rStyle w:val="CharStyle12"/>
          <w:lang w:val="en-US" w:eastAsia="en-US"/>
        </w:rPr>
        <w:t>MIRUS.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Также относительно предоставленного Заказчиком письма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 xml:space="preserve">06.08.2025 </w:t>
      </w:r>
      <w:r>
        <w:rPr>
          <w:rStyle w:val="CharStyle12"/>
        </w:rPr>
        <w:t xml:space="preserve">ООО «Мерил Медикал» о том, что производитель «Мэрил Эндо Серджери Прайвит Лимитед» не подтверждает возможность эксплуатации Аппаратов </w:t>
      </w:r>
      <w:r>
        <w:rPr>
          <w:rStyle w:val="CharStyle12"/>
          <w:lang w:val="en-US" w:eastAsia="en-US"/>
        </w:rPr>
        <w:t xml:space="preserve">MIRUS </w:t>
      </w:r>
      <w:r>
        <w:rPr>
          <w:rStyle w:val="CharStyle12"/>
        </w:rPr>
        <w:t>совместно с кассетами других производителей Комиссия Управления отмечает, что при наличии противоречивых сведений, содержащихся в письме производителя и документах, размещенных в Реестре медицинских изделий, Комиссия Управления руководствуется документами и информации размещенной в Реестре медицинских изделий.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 о том, что представленные в составе заявки Заявителя сведения соответствуют требованиям извещения, при этом доводы Заказчика в обоснование причины отклонения заявки ООО «ПИЛОТ ГРУПП» сводятся к наличию недостоверной информации без надлежащих доказательств.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>Комиссия Управления также считает необходимым отметить, что под недостоверными сведениями следует понимать сведения, не соответствующие действительности.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В свою очередь, исходя из правовой позиции Верховного Суда Российской Федерации, изложенной в постановлении от </w:t>
      </w:r>
      <w:r>
        <w:rPr>
          <w:rStyle w:val="CharStyle12"/>
          <w:lang w:val="en-US" w:eastAsia="en-US"/>
        </w:rPr>
        <w:t xml:space="preserve">24.02.2005 № 3 </w:t>
      </w:r>
      <w:r>
        <w:rPr>
          <w:rStyle w:val="CharStyle12"/>
        </w:rPr>
        <w:t xml:space="preserve">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</w:t>
      </w:r>
      <w:r>
        <w:rPr>
          <w:rStyle w:val="CharStyle12"/>
          <w:lang w:val="en-US" w:eastAsia="en-US"/>
        </w:rPr>
        <w:t>7).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Кроме того, предоставленное заказчику право отклонить поданную заявку в случае обнаружения в ней недостоверных сведений на любом этапе проведения запроса котировок (ч. </w:t>
      </w:r>
      <w:r>
        <w:rPr>
          <w:rStyle w:val="CharStyle12"/>
          <w:lang w:val="en-US" w:eastAsia="en-US"/>
        </w:rPr>
        <w:t xml:space="preserve">6.1 </w:t>
      </w:r>
      <w:r>
        <w:rPr>
          <w:rStyle w:val="CharStyle12"/>
        </w:rPr>
        <w:t>ст.66 Закона о контрактной системе закупок) свидетельствует о том, что располагать такой информацией заказчик должен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непосредственно на момент принятия соответствующего решения (отказ в допуске либо отказ от заключения договора),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Таким образом, как следует из материалов дела, поданная Заявителем заявка в части оспариваемых сведений требованиям документации о закупке соответствовала. Каких-либо оснований сомневаться в достоверности представленных в них сведений в контексте 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 Доказательств обратного представителем Заказчика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При этом в целях соблюдения баланса частных и публичных интересов (на необходимость соблюдения которого указал Конституционный Суд Российской Федерации в постановлении от </w:t>
      </w:r>
      <w:r>
        <w:rPr>
          <w:rStyle w:val="CharStyle12"/>
          <w:lang w:val="en-US" w:eastAsia="en-US"/>
        </w:rPr>
        <w:t xml:space="preserve">29.03.2011 № </w:t>
      </w:r>
      <w:r>
        <w:rPr>
          <w:rStyle w:val="CharStyle12"/>
        </w:rPr>
        <w:t xml:space="preserve">2-П) и принципа стабильности публичных правоотношений, но также и принципов добросовестной реализации прав и законных интересов (ч.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ГК РФ), недопустимости извлечения преимуществ из своего незаконного или недобросовестного поведения (ч.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ГК РФ), недопустимости злоупотребления правом (ч.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ГК РФ)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то же время, как следует из материалов дела в настоящем случае, Заказчиком не представлено иных сведений и документов, свидетельствующих о несоответствии заявки Заявителя требованиям Технического задания, а потому и правовых оснований к отклонению заявки участника у комиссии Заказчика не имелось, вопреки утверждению представителя Заказчика об обратном.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На основании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п.8 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законом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предусмотренных пп. «а» п.1 (за исключением случая, предусмотренного п.5 ч.12 ст.48 Закона о контрактной системе), пп. «а» п.2 ч.4, пп.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(за исключением случая, предусмотренного п.5 ч.12 ст.48 Закона о контрактной системе), п.2 ч.5 ст.14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 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5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предусмотренных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указания информации о предложении участника закупки, предусмотренном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или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Таким образом, Комиссия Управления приходит к выводу о том, что решение комиссии Заказчика о признании заявки ООО «ПИЛОТ ГРУПП» несоответствующей по основанию, отраженному в протоколе подведения итогов определения поставщика (подрядчика, исполнителя) является неправомерным и принято в нарушение пп. «а» п.1 ч.5 ст.49 Закона о контрактной системе, что содержит признаки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.Признать жалобу ООО «ПИЛОТ ГРУПП» на действия комиссии ФГБУ «РНЦРР» Минздрава России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.Признать в действиях комиссии Заказчика нарушение пп. «а» п.1 ч.5 ст.49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8" w:bottom="1124" w:left="10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78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600000000000001pt;margin-top:10.pt;width:145.20000000000002pt;height:19.699999999999999pt;z-index:-125829375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4310" distB="0" distL="0" distR="1786255" simplePos="0" relativeHeight="125829380" behindDoc="0" locked="0" layoutInCell="1" allowOverlap="1">
            <wp:simplePos x="0" y="0"/>
            <wp:positionH relativeFrom="page">
              <wp:posOffset>3100070</wp:posOffset>
            </wp:positionH>
            <wp:positionV relativeFrom="paragraph">
              <wp:posOffset>194310</wp:posOffset>
            </wp:positionV>
            <wp:extent cx="359410" cy="40259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19999999999999pt;margin-top:22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1" behindDoc="0" locked="0" layoutInCell="1" allowOverlap="1">
                <wp:simplePos x="0" y="0"/>
                <wp:positionH relativeFrom="page">
                  <wp:posOffset>5901055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4.65000000000003pt;margin-top:10.pt;width:102.95pt;height:19.699999999999999pt;z-index:-125829372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3100070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19999999999999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Е.Д. Мартьянова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009EC19D0AD083DC593EE489E44F6A415</w:t>
      </w:r>
      <w:r>
        <w:rPr>
          <w:rStyle w:val="CharStyle22"/>
          <w:lang w:val="en-US" w:eastAsia="en-US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D5D5D"/>
        </w:rPr>
        <w:t>21</w:t>
      </w:r>
      <w:r>
        <w:rPr>
          <w:rStyle w:val="CharStyle22"/>
        </w:rPr>
        <w:t>.01</w:t>
      </w:r>
      <w:r>
        <w:rPr>
          <w:rStyle w:val="CharStyle22"/>
          <w:color w:val="5D5D5D"/>
        </w:rPr>
        <w:t xml:space="preserve">.2025 по </w:t>
      </w:r>
      <w:r>
        <w:rPr>
          <w:rStyle w:val="CharStyle22"/>
        </w:rPr>
        <w:t>16.04.2026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3130550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19999999999999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Челнова Олеся Антоновна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05605B6072C3BC92D25AFCA81C80B531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500" w:line="240" w:lineRule="auto"/>
        <w:ind w:right="0" w:firstLine="0"/>
        <w:jc w:val="left"/>
      </w:pPr>
      <w:r>
        <w:rPr>
          <w:rStyle w:val="CharStyle22"/>
        </w:rPr>
        <w:t xml:space="preserve">Действителен с 23.05.2025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16.08.2026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10217150</wp:posOffset>
              </wp:positionV>
              <wp:extent cx="725170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5pt;margin-top:804.5pt;width:57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600000000000001pt;margin-top:794.70000000000005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476250</wp:posOffset>
              </wp:positionV>
              <wp:extent cx="6731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15000000000003pt;margin-top:37.5pt;width:5.2999999999999998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