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1784985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803275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03.09.2025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35360/25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25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03.09.2025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35360/25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9640570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rStyle w:val="CharStyle7"/>
        </w:rPr>
        <w:t xml:space="preserve">ГБУЗ «ГП </w:t>
      </w:r>
      <w:r>
        <w:rPr>
          <w:rStyle w:val="CharStyle7"/>
          <w:lang w:val="en-US" w:eastAsia="en-US"/>
        </w:rPr>
        <w:t xml:space="preserve">№ 219 </w:t>
      </w:r>
      <w:r>
        <w:rPr>
          <w:rStyle w:val="CharStyle7"/>
        </w:rPr>
        <w:t xml:space="preserve">ДЗМ» </w:t>
      </w:r>
      <w:r>
        <w:fldChar w:fldCharType="begin"/>
      </w:r>
      <w:r>
        <w:rPr/>
        <w:instrText> HYPERLINK "mailto:gp219@zdrav.mos.ru" </w:instrText>
      </w:r>
      <w:r>
        <w:fldChar w:fldCharType="separate"/>
      </w:r>
      <w:r>
        <w:rPr>
          <w:rStyle w:val="CharStyle7"/>
          <w:lang w:val="en-US" w:eastAsia="en-US"/>
        </w:rPr>
        <w:t>gp219@zdrav.mos.ru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rStyle w:val="CharStyle7"/>
        </w:rPr>
        <w:t xml:space="preserve">ООО «Транссервис» </w:t>
      </w:r>
      <w:r>
        <w:fldChar w:fldCharType="begin"/>
      </w:r>
      <w:r>
        <w:rPr/>
        <w:instrText> HYPERLINK "mailto:trserv@bk.ru" </w:instrText>
      </w:r>
      <w:r>
        <w:fldChar w:fldCharType="separate"/>
      </w:r>
      <w:r>
        <w:rPr>
          <w:rStyle w:val="CharStyle7"/>
          <w:lang w:val="en-US" w:eastAsia="en-US"/>
        </w:rPr>
        <w:t>trserv@bk.ru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40" w:line="240" w:lineRule="auto"/>
        <w:ind w:left="1140" w:right="0" w:firstLine="0"/>
        <w:jc w:val="left"/>
      </w:pPr>
      <w:r>
        <w:rPr>
          <w:rStyle w:val="CharStyle7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№077/06/106-10655/2025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1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  <w:lang w:val="en-US" w:eastAsia="en-US"/>
        </w:rPr>
        <w:t>29 08.2025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Председательствующего: 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О.А. Челновой,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</w:t>
        <w:softHyphen/>
        <w:t>конференц-связи) 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ГБУЗ «ГП </w:t>
      </w:r>
      <w:r>
        <w:rPr>
          <w:rStyle w:val="CharStyle7"/>
          <w:lang w:val="en-US" w:eastAsia="en-US"/>
        </w:rPr>
        <w:t xml:space="preserve">№ 219 </w:t>
      </w:r>
      <w:r>
        <w:rPr>
          <w:rStyle w:val="CharStyle7"/>
        </w:rPr>
        <w:t xml:space="preserve">ДЗМ» А.М. Хуснияровой (дов.№б/н от </w:t>
      </w:r>
      <w:r>
        <w:rPr>
          <w:rStyle w:val="CharStyle7"/>
          <w:lang w:val="en-US" w:eastAsia="en-US"/>
        </w:rPr>
        <w:t>28.08.2025),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ООО «Транссервис»: М.А. Касимовой (дов </w:t>
      </w:r>
      <w:r>
        <w:rPr>
          <w:rStyle w:val="CharStyle7"/>
          <w:lang w:val="en-US" w:eastAsia="en-US"/>
        </w:rPr>
        <w:t xml:space="preserve">№19-2024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23.08.2024) </w:t>
      </w:r>
      <w:r>
        <w:rPr>
          <w:rStyle w:val="CharStyle7"/>
        </w:rPr>
        <w:t xml:space="preserve">(присутствующего после объявления перерыва при рассмотрении жалобы), Р.Е. Левченко (дов </w:t>
      </w:r>
      <w:r>
        <w:rPr>
          <w:rStyle w:val="CharStyle7"/>
          <w:lang w:val="en-US" w:eastAsia="en-US"/>
        </w:rPr>
        <w:t xml:space="preserve">№19-2024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23.08.2024) </w:t>
      </w:r>
      <w:r>
        <w:rPr>
          <w:rStyle w:val="CharStyle7"/>
        </w:rPr>
        <w:t>(присутствующего после объявления перерыва при рассмотрении жалобы),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  <w:sectPr>
          <w:footerReference w:type="default" r:id="rId9"/>
          <w:foot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294" w:right="536" w:bottom="708" w:left="1101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рассмотрев жалобу ООО «Транссервис»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ГБУЗ «ГП </w:t>
      </w:r>
      <w:r>
        <w:rPr>
          <w:rStyle w:val="CharStyle7"/>
          <w:lang w:val="en-US" w:eastAsia="en-US"/>
        </w:rPr>
        <w:t xml:space="preserve">№ 219 </w:t>
      </w:r>
      <w:r>
        <w:rPr>
          <w:rStyle w:val="CharStyle7"/>
        </w:rPr>
        <w:t xml:space="preserve">ДЗМ»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закупку противогололёдного реагента для ГБУЗ ГП </w:t>
      </w:r>
      <w:r>
        <w:rPr>
          <w:rStyle w:val="CharStyle7"/>
          <w:lang w:val="en-US" w:eastAsia="en-US"/>
        </w:rPr>
        <w:t xml:space="preserve">219 </w:t>
      </w:r>
      <w:r>
        <w:rPr>
          <w:rStyle w:val="CharStyle7"/>
        </w:rPr>
        <w:t xml:space="preserve">ДЗМ в </w:t>
      </w:r>
      <w:r>
        <w:rPr>
          <w:rStyle w:val="CharStyle7"/>
          <w:lang w:val="en-US" w:eastAsia="en-US"/>
        </w:rPr>
        <w:t xml:space="preserve">2026 </w:t>
      </w:r>
      <w:r>
        <w:rPr>
          <w:rStyle w:val="CharStyle7"/>
        </w:rPr>
        <w:t xml:space="preserve">году. (Закупка №0373200559125000070)(далее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аукцион),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составе жалобы Заявитель указывает, что комиссией по осуществлению закупок Заказчика нарушены нормы Закона о контрактной системе в результате отклонения заявки участника закупки ООО «Транссервис».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20.08.2025 </w:t>
      </w:r>
      <w:r>
        <w:rPr>
          <w:rStyle w:val="CharStyle7"/>
        </w:rPr>
        <w:t xml:space="preserve">№ИЭА1 заявка участника закупки ООО «Транссервис», с идентификационным номером </w:t>
      </w:r>
      <w:r>
        <w:rPr>
          <w:rStyle w:val="CharStyle7"/>
          <w:lang w:val="en-US" w:eastAsia="en-US"/>
        </w:rPr>
        <w:t xml:space="preserve">2226524, </w:t>
      </w:r>
      <w:r>
        <w:rPr>
          <w:rStyle w:val="CharStyle7"/>
        </w:rPr>
        <w:t>отклонена комиссией по осуществлению закупок Заказчика на следующем основании: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«</w:t>
      </w:r>
      <w:r>
        <w:rPr>
          <w:rStyle w:val="CharStyle7"/>
          <w:i/>
          <w:iCs/>
        </w:rPr>
        <w:t xml:space="preserve">Отклонить заявку на участие в закупке по п.1 ч.12 ст.48 №44-ФЗ «Непредставление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</w:t>
      </w:r>
      <w:r>
        <w:rPr>
          <w:rStyle w:val="CharStyle7"/>
          <w:i/>
          <w:iCs/>
          <w:lang w:val="en-US" w:eastAsia="en-US"/>
        </w:rPr>
        <w:t xml:space="preserve">2, 3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6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43 </w:t>
      </w:r>
      <w:r>
        <w:rPr>
          <w:rStyle w:val="CharStyle7"/>
          <w:i/>
          <w:iCs/>
        </w:rPr>
        <w:t>Закона 44-ФЗ), несоответствие таких информации и документов требованиям» Участником в составе заявки не представлена копия действующего положительного заключения государственной экологической экспертизы на техническую документацию (технические условия, стандарты организаций) на противогололедный реагент, проведенной центральным аппаратом федерального органа исполнительной власти по контролю и надзору в сфере природопользования или его территориальным органом, осуществляющим отдельные функции федерального органа исполнительной власти по контролю и надзору в сфере природопользования на территории Москвы и Московской области, выданного уполномоченным органом, проводившим такую экспертизу, разрешающего применять предлагаемый противогололедный реагент в пределах административных границ города Москвы</w:t>
      </w:r>
      <w:r>
        <w:rPr>
          <w:rStyle w:val="CharStyle7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11"/>
          <w:footerReference w:type="default" r:id="rId12"/>
          <w:headerReference w:type="even" r:id="rId13"/>
          <w:footerReference w:type="even" r:id="rId14"/>
          <w:footnotePr>
            <w:pos w:val="pageBottom"/>
            <w:numFmt w:val="decimal"/>
            <w:numRestart w:val="continuous"/>
          </w:footnotePr>
          <w:pgSz w:w="11900" w:h="16840"/>
          <w:pgMar w:top="1158" w:right="541" w:bottom="1624" w:left="1097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both"/>
      </w:pPr>
      <w:r>
        <w:rPr>
          <w:rStyle w:val="CharStyle7"/>
        </w:rPr>
        <w:t>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Комиссией Управления определено, что, согласно извещению об осуществлению закупки, Заказчиком закупаются товары «Твердый многокомпонентный противогололедный реагент на основе композиции хлористого кальция с другими хлоридами (натрия и калия) и формиатом натрия (МРТВ)» кода ОКПД2 </w:t>
      </w:r>
      <w:r>
        <w:rPr>
          <w:rStyle w:val="CharStyle7"/>
          <w:lang w:val="en-US" w:eastAsia="en-US"/>
        </w:rPr>
        <w:t>20.59.43.130.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Согласно ч.1 ст.49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«п» п.1, пп.«а»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«в» п.2, п.5 ч.1 ст.43 Закона о контрактной системе. Заявка также может содержать информацию и документы, предусмотренные пп.«д»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соответствии с п.2 ч.1 ст.43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с учетом положений ч.2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системе, товарный знак (при наличии у товара товарного знака);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7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ч.2 ст.43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7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Законом о контрактной системе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8" w:val="left"/>
        </w:tabs>
        <w:bidi w:val="0"/>
        <w:spacing w:before="0" w:after="80"/>
        <w:ind w:left="0" w:right="0" w:firstLine="700"/>
        <w:jc w:val="both"/>
      </w:pPr>
      <w:r>
        <w:rPr>
          <w:rStyle w:val="CharStyle7"/>
        </w:rPr>
        <w:t xml:space="preserve">с учетом положений ч.2 ст.43 Закона о контрактной системе предложение по критериям, предусмотренным п.2 и (или)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ч.1 ст.32 Закона о контрактной системе 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93" w:lineRule="auto"/>
        <w:ind w:left="0" w:right="0" w:firstLine="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5"/>
          <w:sz w:val="24"/>
          <w:szCs w:val="24"/>
          <w:lang w:val="en-US" w:eastAsia="en-US"/>
        </w:rPr>
        <w:t>2025-40007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7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Согласно абз. </w:t>
      </w:r>
      <w:r>
        <w:rPr>
          <w:rStyle w:val="CharStyle7"/>
          <w:lang w:val="en-US" w:eastAsia="en-US"/>
        </w:rPr>
        <w:t xml:space="preserve">1,11 </w:t>
      </w:r>
      <w:r>
        <w:rPr>
          <w:rStyle w:val="CharStyle7"/>
        </w:rPr>
        <w:t xml:space="preserve">ст.3 Федерального закона от </w:t>
      </w:r>
      <w:r>
        <w:rPr>
          <w:rStyle w:val="CharStyle7"/>
          <w:lang w:val="en-US" w:eastAsia="en-US"/>
        </w:rPr>
        <w:t xml:space="preserve">10.01.2002 </w:t>
      </w:r>
      <w:r>
        <w:rPr>
          <w:rStyle w:val="CharStyle7"/>
        </w:rPr>
        <w:t>№7-ФЗ «Об охране окружающей среды» хозяйственная и иная деятельность органов государственной власти Российской Федерации, органов государственной власти субъектов Российской Федерации, органов местного самоуправления, юридических и физических лиц, оказывающая воздействие на окружающую среду, должна осуществляться на основе принципа обязательности проведения в соответствии с законодательством Российской Федерации проверки проектов и иной документации, обосновывающих хозяйственную и иную деятельность, которая может оказать негативное воздействие на окружающую среду, создать угрозу жизни, здоровью и имуществу граждан, на соответствие требованиям технических регламентов в области охраны окружающей среды.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Согласно ст.1 Федерального закона от </w:t>
      </w:r>
      <w:r>
        <w:rPr>
          <w:rStyle w:val="CharStyle7"/>
          <w:lang w:val="en-US" w:eastAsia="en-US"/>
        </w:rPr>
        <w:t xml:space="preserve">23.11.1995 № </w:t>
      </w:r>
      <w:r>
        <w:rPr>
          <w:rStyle w:val="CharStyle7"/>
        </w:rPr>
        <w:t xml:space="preserve">174-ФЗ «Об экологической экспертизе»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Закон об экологической экспертизе) экологическая экспертиза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установление соответствия документов и (или) документации, обосновывающих намечаемую в связи с реализацией объекта экологической экспертизы хозяйственную и иную деятельность, требованиям в области охраны окружающей среды в целях предотвращения негативного воздействия такой деятельности на окружающую среду.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ст.10 Закона об экологической экспертизе государственная экологическая экспертиза организуется и проводится федеральным органом исполнительной власти в области экологической экспертизы и органами государственной власти субъектов Российской Федерации в порядке, установленном настоящим Федеральным законом, иными нормативными правовыми актами Российской Федерации, законами и иными нормативными правовыми актами субъектов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п.13 ч.1 ст.11 Закона об экологической экспертизе объектами государственной экологической экспертизы федерального уровня являются, в том числе, проекты технической документации на вещества, которые могут впервые поступать в окружающую среду.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Согласно п.1.2.11 «Рекомендации. Система разработки и постановки продукции на производство. Термины и определения. Р </w:t>
      </w:r>
      <w:r>
        <w:rPr>
          <w:rStyle w:val="CharStyle7"/>
          <w:lang w:val="en-US" w:eastAsia="en-US"/>
        </w:rPr>
        <w:t xml:space="preserve">50-605-80-93», </w:t>
      </w:r>
      <w:r>
        <w:rPr>
          <w:rStyle w:val="CharStyle7"/>
        </w:rPr>
        <w:t xml:space="preserve">утвержденные Приказом ВНИИ стандарта от </w:t>
      </w:r>
      <w:r>
        <w:rPr>
          <w:rStyle w:val="CharStyle7"/>
          <w:lang w:val="en-US" w:eastAsia="en-US"/>
        </w:rPr>
        <w:t xml:space="preserve">09.07.1993№18» </w:t>
      </w:r>
      <w:r>
        <w:rPr>
          <w:rStyle w:val="CharStyle7"/>
        </w:rPr>
        <w:t xml:space="preserve">новая продукция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продукция, впервые изготовленная в стране, отличающаяся от выпускаемой улучшенными свойствами или характеристиками и получающая новое обозначение К новой продукции относятся также модернизированная и модифицированная продукция.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623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Исходя из системного толкования вышеуказанных норм законодательства Комиссия Управления приходит к выводу, что противогололедный реагент, являющийся объектом закупки, на момент первичного производства, является новым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7"/>
        </w:rPr>
        <w:t>веществом, ввиду чего противогололедный реагент, согласно п.13 ч.1 ст.11 Закона об экологической экспертизе, является объектом государственной экологической экспертизы федерального уровня.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В силу ч.12 ст.14 Закона об экологической экспертизе результатом проведения государственной экологической экспертизы является заключение государственной экологической экспертизы, отвечающее требованиям ст.18 Закона об экологической экспертизе.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С учетом вышеизложенного, действующим законодательством предусмотрено, что обязательным документом, подтверждающим возможность использования на территории Российской Федерации противогололедного реагента, является положительное заключение государственной экологической экспертизы федерального уровня.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Комиссией Управления установлено, что п.12 Информационной карты в составе извещения Заказчиком определены в том числе следующие требования к составу заявки на участие в закупке: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  <w:i/>
          <w:iCs/>
        </w:rPr>
        <w:t>«Положительное заключение государственной экологической экспертизы федерального уровня на ее проект, проведенной центральным аппаратом федерального органа исполнительной власти по контролю и надзору в сфере природопользования или его территориальным органом, осуществляющим отдельные функции федерального органа исполнительной власти по контролю и надзору в сфере природопользования на территории Москвы и Московской области, выданного уполномоченным органом, проводившим такую экспертизу».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в составе заявки участника закупки ООО «Транссервис» представлены сведения о предложенных в поставке товарах, а также электронный документ «ГЭЭ», содержащий сведения о приказе Росприроднадзора №315/ГЭЭ от </w:t>
      </w:r>
      <w:r>
        <w:rPr>
          <w:rStyle w:val="CharStyle7"/>
          <w:lang w:val="en-US" w:eastAsia="en-US"/>
        </w:rPr>
        <w:t xml:space="preserve">13.02.2023 </w:t>
      </w:r>
      <w:r>
        <w:rPr>
          <w:rStyle w:val="CharStyle7"/>
        </w:rPr>
        <w:t xml:space="preserve">«Об утверждении заключения экспертной комиссии государственной экологической экспертизы проекта технической документации «Технология зимней уборки проезжей части магистралей, улиц, проездов и площадей (объектов дорожного хозяйства г.Москвы) с применением противогололедных реагентов и гранитного щебня фракции </w:t>
      </w:r>
      <w:r>
        <w:rPr>
          <w:rStyle w:val="CharStyle7"/>
          <w:lang w:val="en-US" w:eastAsia="en-US"/>
        </w:rPr>
        <w:t xml:space="preserve">2-5 </w:t>
      </w:r>
      <w:r>
        <w:rPr>
          <w:rStyle w:val="CharStyle7"/>
        </w:rPr>
        <w:t xml:space="preserve">мм», а также </w:t>
      </w:r>
      <w:r>
        <w:rPr>
          <w:rStyle w:val="CharStyle7"/>
          <w:lang w:val="en-US" w:eastAsia="en-US"/>
        </w:rPr>
        <w:t xml:space="preserve">6 </w:t>
      </w:r>
      <w:r>
        <w:rPr>
          <w:rStyle w:val="CharStyle7"/>
        </w:rPr>
        <w:t xml:space="preserve">страниц государственной экологической экспертизы проекта технической документации «Технология зимней уборки проезжей части магистралей, улиц, проездов и площадей (объектов дорожного хозяйства г.Москвы) с применением противогололедных реагентов и гранитного щебня фракции </w:t>
      </w:r>
      <w:r>
        <w:rPr>
          <w:rStyle w:val="CharStyle7"/>
          <w:lang w:val="en-US" w:eastAsia="en-US"/>
        </w:rPr>
        <w:t xml:space="preserve">2-5 </w:t>
      </w:r>
      <w:r>
        <w:rPr>
          <w:rStyle w:val="CharStyle7"/>
        </w:rPr>
        <w:t xml:space="preserve">мм», на которой указаны «результаты проведения экспертизы»: положительное заключение», «срок действия положительного заключения государственной экологической экспертизы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бессрочно».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 xml:space="preserve">Согласно пп.«а»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</w:t>
      </w:r>
      <w:r>
        <w:rPr>
          <w:rStyle w:val="CharStyle7"/>
          <w:sz w:val="24"/>
          <w:szCs w:val="24"/>
          <w:lang w:val="en-US" w:eastAsia="en-US"/>
        </w:rPr>
        <w:t>2025-40007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7"/>
        </w:rPr>
        <w:t>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</w:t>
        <w:softHyphen/>
        <w:t>8</w:t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>ч.12 ст.48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2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непредставления (за исключением случаев, предусмотренных Законом о контрактной системе)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п.2 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2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п.2 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2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ч.1.1,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>(при наличии таких требований) ст.31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7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предусмотренных пп.«а» п.1 (за исключением случая, предусмотренного п.5 ч.12 ст.48 Закона о контрактной системе), пп.«а» п.2 ч.4, пп.«а» п.1 (за исключением случая, предусмотренного п.5 ч.12 ст.48 Закона о контрактной системе), п.2 ч.5 ст.14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2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непредставления информации и документов, предусмотренных п.5 ч.1 ст.43 Закона о контрактной системе, если такие информация и документы определены в соответствии с п.2 ч.2 ст.14 Закона о контрактной системе (в случае установления в соответствии с пп.«а» п.1 ч.2 ст.14 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7" w:val="left"/>
        </w:tabs>
        <w:bidi w:val="0"/>
        <w:spacing w:before="0" w:after="0" w:line="259" w:lineRule="auto"/>
        <w:ind w:left="0" w:right="0" w:firstLine="700"/>
        <w:jc w:val="both"/>
        <w:rPr>
          <w:sz w:val="24"/>
          <w:szCs w:val="24"/>
        </w:rPr>
        <w:sectPr>
          <w:headerReference w:type="default" r:id="rId15"/>
          <w:footerReference w:type="default" r:id="rId16"/>
          <w:headerReference w:type="even" r:id="rId17"/>
          <w:footerReference w:type="even" r:id="rId18"/>
          <w:footnotePr>
            <w:pos w:val="pageBottom"/>
            <w:numFmt w:val="decimal"/>
            <w:numRestart w:val="continuous"/>
          </w:footnotePr>
          <w:pgSz w:w="11900" w:h="16840"/>
          <w:pgMar w:top="1138" w:right="536" w:bottom="1364" w:left="1101" w:header="0" w:footer="936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выявления отнесения участника закупки к организациям, предусмотренным п.4 ст.2 Федерального закона от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июня </w:t>
      </w:r>
      <w:r>
        <w:rPr>
          <w:rStyle w:val="CharStyle7"/>
          <w:lang w:val="en-US" w:eastAsia="en-US"/>
        </w:rPr>
        <w:t xml:space="preserve">2018 </w:t>
      </w:r>
      <w:r>
        <w:rPr>
          <w:rStyle w:val="CharStyle7"/>
        </w:rPr>
        <w:t xml:space="preserve">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</w:t>
      </w:r>
      <w:r>
        <w:rPr>
          <w:rStyle w:val="CharStyle7"/>
          <w:sz w:val="24"/>
          <w:szCs w:val="24"/>
          <w:lang w:val="en-US" w:eastAsia="en-US"/>
        </w:rPr>
        <w:t>2025-40007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3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предусмотренных ч.6 ст.45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4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9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заседании Комиссии Управления представитель Заказчика пояснил, что заявка участника закупки ООО «Транссервис» отклонена комиссией по осуществлению закупок Заказчика по формальному признаку за отсутствие в составе заявки положительного заключения государственной экологической экспертизы ошибочно.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Комиссия Управления отмечает, что в составе извещения однозначно установлено, что составе заявки участника закупки должно быть представлено действующее положительное заключение государственной экологической экспертизы федерального уровня, что свидетельствует о необходимости предоставления данного документа в составе заявки, что и было сделано Заявителем.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Исходя из вышеизложенного Комиссия Управления приходит к выводу, что решение комиссии по осуществлению закупок Заказчика о признании заявки ООО «Транссервис» несоответствующей требованиям извещения принято в нарушение пп. «а» п.1 ч.5 ст. </w:t>
      </w:r>
      <w:r>
        <w:rPr>
          <w:rStyle w:val="CharStyle7"/>
          <w:lang w:val="en-US" w:eastAsia="en-US"/>
        </w:rPr>
        <w:t xml:space="preserve">49 </w:t>
      </w:r>
      <w:r>
        <w:rPr>
          <w:rStyle w:val="CharStyle7"/>
        </w:rPr>
        <w:t>Закона о контрактной системе, что также свидетельствует о наличии в действиях комиссии по осуществлению закупок Заказчика признаков состава административного правонарушения, ответственность за которое предусмотрена ч.7 ст.7.30.1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5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Одновременно с этим Заявитель указывает на то, что комиссией по осуществлению закупок Заказчика нарушены нормы Закона о контрактной системе в результате признания заявки участника закупки с идентификационным номером </w:t>
      </w:r>
      <w:r>
        <w:rPr>
          <w:rStyle w:val="CharStyle7"/>
          <w:lang w:val="en-US" w:eastAsia="en-US"/>
        </w:rPr>
        <w:t xml:space="preserve">2219483 </w:t>
      </w:r>
      <w:r>
        <w:rPr>
          <w:rStyle w:val="CharStyle7"/>
        </w:rPr>
        <w:t>Победителем аукциона, поскольку, по мнению Заявителя, в составе заявки Победителя не представлено действующее положительное заключение государственное экологической экспертизы федерального уровня на техническую документацию (технические условия, стандарты организаций) на противогололедный реагент, разрешающего применять предлагаемый противогололедный реагент в пределах административных границ города Москвы.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Вместе с тем Комиссией Управления установлено, в составе заявки Победителя представлены сведения о предложенных в поставке товарах, а также электронный документ «2408/ГЭЭ», содержащий сведения о приказе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 xml:space="preserve">Росприроднадзора №2408/ГЭЭ от </w:t>
      </w:r>
      <w:r>
        <w:rPr>
          <w:rStyle w:val="CharStyle7"/>
          <w:lang w:val="en-US" w:eastAsia="en-US"/>
        </w:rPr>
        <w:t xml:space="preserve">11.12.2024 </w:t>
      </w:r>
      <w:r>
        <w:rPr>
          <w:rStyle w:val="CharStyle7"/>
        </w:rPr>
        <w:t xml:space="preserve">«Об утверждении заключения экспертной комиссии государственной экологической экспертизы проекта технической документации «Противогололедные материалы «АнтиЛёд», а также одну из страниц государственной экологической экспертизы проекта технической документации «Противогололедные материалы «АнтиЛёд», на которой указаны «результаты проведения государственной экологической экспертизы»: положительное заключение», «срок действия положительного заключения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бессрочно».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Комиссия Управления отмечает, что в требованиях к составу заявки на участие в закупке Заказчиком определен перечень документов и сведений, необходимых к представлению в составе заявки участника закупки, однако требования на необходимость наличия в представляемом положительном заключении государственной экологической экспертизы указания на разрешение применения предлагаемого противогололедного реагента в пределах административных границ города Москвы не предъявлено.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Вместе с этим, как установлено Комиссией Управления, из представленных участником закупки документов и сведений представляется возможным однозначным образом определить, что участником закупки представлено положительное заключении государственной экологической экспертизы в соответствии с предъявленными требованиями.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 о том, что у комиссии Заказчика не имелось оснований для признания заявки Победителя несоответствующей, ввиду чего, решение комиссии является правомерным и не противоречит требованиям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основании вышеизложенного Комиссия Управления приходит к выводу, что довод жалобы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19"/>
          <w:footerReference w:type="default" r:id="rId20"/>
          <w:headerReference w:type="even" r:id="rId21"/>
          <w:footerReference w:type="even" r:id="rId22"/>
          <w:footnotePr>
            <w:pos w:val="pageBottom"/>
            <w:numFmt w:val="decimal"/>
            <w:numRestart w:val="continuous"/>
          </w:footnotePr>
          <w:pgSz w:w="11900" w:h="16840"/>
          <w:pgMar w:top="1138" w:right="545" w:bottom="1762" w:left="1103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7"/>
          <w:b/>
          <w:bCs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Признать жалобу ООО «Транссервис» на действия комиссии по осуществлению закупок ГБУЗ «ГП </w:t>
      </w:r>
      <w:r>
        <w:rPr>
          <w:rStyle w:val="CharStyle7"/>
          <w:lang w:val="en-US" w:eastAsia="en-US"/>
        </w:rPr>
        <w:t xml:space="preserve">№ 219 </w:t>
      </w:r>
      <w:r>
        <w:rPr>
          <w:rStyle w:val="CharStyle7"/>
        </w:rPr>
        <w:t>ДЗМ» обоснованной в части неправомерное отклонения заявки участника.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Признать в действиях Заказчика нарушение пп.«б» п.1 ч.5 ст.49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6" w:val="left"/>
        </w:tabs>
        <w:bidi w:val="0"/>
        <w:spacing w:before="0" w:after="200"/>
        <w:ind w:left="0" w:right="0" w:firstLine="700"/>
        <w:jc w:val="both"/>
      </w:pPr>
      <w:r>
        <w:rPr>
          <w:rStyle w:val="CharStyle7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402" w:right="532" w:bottom="218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41630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8.200000000000003pt;margin-top:10.pt;width:145.20000000000002pt;height:19.900000000000002pt;z-index:-125829371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4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196850</wp:posOffset>
            </wp:positionV>
            <wp:extent cx="359410" cy="524510"/>
            <wp:wrapTopAndBottom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605155</wp:posOffset>
                </wp:positionV>
                <wp:extent cx="1283335" cy="10033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0.94999999999999pt;margin-top:47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288290</wp:posOffset>
                </wp:positionV>
                <wp:extent cx="1725295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60000000000002pt;margin-top:22.699999999999999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41630" distL="0" distR="0" simplePos="0" relativeHeight="125829385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127000</wp:posOffset>
                </wp:positionV>
                <wp:extent cx="1307465" cy="25273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465.25pt;margin-top:10.pt;width:102.95pt;height:19.900000000000002pt;z-index:-125829368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Кутейников Антон Андреевич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67950889C45403E5BD9EBC88A8D80C0D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2"/>
        </w:rPr>
        <w:t xml:space="preserve">Действителен с 19.05.2025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80.90000000000003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77.75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Матюшенко Александр Александрович</w:t>
      </w:r>
      <w:r>
        <w:rPr>
          <w:rStyle w:val="CharStyle22"/>
          <w:color w:val="000000"/>
        </w:rPr>
        <w:t xml:space="preserve"> </w:t>
      </w: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4F595A5C3E5ABB2DD77161F08559FC07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0"/>
        <w:jc w:val="left"/>
      </w:pPr>
      <w:r>
        <w:rPr>
          <w:rStyle w:val="CharStyle22"/>
        </w:rPr>
        <w:t xml:space="preserve">Действителен с 22.07.2025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77.75pt;margin-top:11.95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О.А Челнова</w:t>
      </w:r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7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Челнова Олеся Антоновна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05605B6072C3BC92D25AFCA81C80B531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right="0" w:firstLine="0"/>
        <w:jc w:val="left"/>
      </w:pPr>
      <w:r>
        <w:rPr>
          <w:rStyle w:val="CharStyle22"/>
        </w:rPr>
        <w:t xml:space="preserve">Действителен с 23.05.2025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16.08.2026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Исп.Челнова О.А.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5"/>
        </w:rPr>
        <w:t>тел.(495) 784-75-05, вн. 077-216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02" w:right="532" w:bottom="1623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0993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99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2025-40007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5.899999999999999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2025-40007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099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99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2025-40007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804.5pt;width:55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2025-40007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9662795</wp:posOffset>
              </wp:positionV>
              <wp:extent cx="725170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2025-40007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200000000000003pt;margin-top:760.85000000000002pt;width:57.100000000000001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2025-40007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9662795</wp:posOffset>
              </wp:positionV>
              <wp:extent cx="725170" cy="10350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2025-40007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7.200000000000003pt;margin-top:760.85000000000002pt;width:57.100000000000001pt;height:8.15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2025-40007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9662795</wp:posOffset>
              </wp:positionV>
              <wp:extent cx="725170" cy="103505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2025-40007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7.200000000000003pt;margin-top:760.85000000000002pt;width:57.100000000000001pt;height:8.1500000000000004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2025-40007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473075</wp:posOffset>
              </wp:positionV>
              <wp:extent cx="64135" cy="6985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pt;margin-top:37.25pt;width:5.0499999999999998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19999999999999pt;margin-top:37.5pt;width:5.0499999999999998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473075</wp:posOffset>
              </wp:positionV>
              <wp:extent cx="64135" cy="6985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9.pt;margin-top:37.25pt;width:5.0499999999999998pt;height:5.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473075</wp:posOffset>
              </wp:positionV>
              <wp:extent cx="64135" cy="6985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9.pt;margin-top:37.25pt;width:5.0499999999999998pt;height:5.5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033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309.19999999999999pt;margin-top:37.5pt;width:5.0499999999999998pt;height:7.90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033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309.19999999999999pt;margin-top:37.5pt;width:5.0499999999999998pt;height:7.9000000000000004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2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5">
    <w:name w:val="Body text (4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7">
    <w:name w:val="Body text (5)_"/>
    <w:basedOn w:val="DefaultParagraphFont"/>
    <w:link w:val="Style2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4">
    <w:name w:val="Body text (4)"/>
    <w:basedOn w:val="Normal"/>
    <w:link w:val="CharStyle15"/>
    <w:pPr>
      <w:widowControl w:val="0"/>
      <w:shd w:val="clear" w:color="auto" w:fill="auto"/>
      <w:spacing w:after="60" w:line="26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6">
    <w:name w:val="Body text (5)"/>
    <w:basedOn w:val="Normal"/>
    <w:link w:val="CharStyle27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header" Target="header1.xml"/><Relationship Id="rId12" Type="http://schemas.openxmlformats.org/officeDocument/2006/relationships/footer" Target="footer3.xml"/><Relationship Id="rId13" Type="http://schemas.openxmlformats.org/officeDocument/2006/relationships/header" Target="header2.xml"/><Relationship Id="rId14" Type="http://schemas.openxmlformats.org/officeDocument/2006/relationships/footer" Target="footer4.xml"/><Relationship Id="rId15" Type="http://schemas.openxmlformats.org/officeDocument/2006/relationships/header" Target="header3.xml"/><Relationship Id="rId16" Type="http://schemas.openxmlformats.org/officeDocument/2006/relationships/footer" Target="footer5.xml"/><Relationship Id="rId17" Type="http://schemas.openxmlformats.org/officeDocument/2006/relationships/header" Target="header4.xml"/><Relationship Id="rId18" Type="http://schemas.openxmlformats.org/officeDocument/2006/relationships/footer" Target="footer6.xml"/><Relationship Id="rId19" Type="http://schemas.openxmlformats.org/officeDocument/2006/relationships/header" Target="header5.xml"/><Relationship Id="rId20" Type="http://schemas.openxmlformats.org/officeDocument/2006/relationships/footer" Target="footer7.xml"/><Relationship Id="rId21" Type="http://schemas.openxmlformats.org/officeDocument/2006/relationships/header" Target="header6.xml"/><Relationship Id="rId22" Type="http://schemas.openxmlformats.org/officeDocument/2006/relationships/footer" Target="footer8.xml"/><Relationship Id="rId23" Type="http://schemas.openxmlformats.org/officeDocument/2006/relationships/image" Target="media/image3.jpeg"/><Relationship Id="rId24" Type="http://schemas.openxmlformats.org/officeDocument/2006/relationships/image" Target="media/image3.jpeg" TargetMode="External"/><Relationship Id="rId25" Type="http://schemas.openxmlformats.org/officeDocument/2006/relationships/image" Target="media/image4.jpeg"/><Relationship Id="rId26" Type="http://schemas.openxmlformats.org/officeDocument/2006/relationships/image" Target="media/image4.jpeg" TargetMode="External"/><Relationship Id="rId27" Type="http://schemas.openxmlformats.org/officeDocument/2006/relationships/image" Target="media/image5.jpeg"/><Relationship Id="rId28" Type="http://schemas.openxmlformats.org/officeDocument/2006/relationships/image" Target="media/image5.jpeg" TargetMode="External"/></Relationships>
</file>