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after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rStyle w:val="CharStyle10"/>
        </w:rPr>
        <w:t>03.09.2025</w:t>
        <w:tab/>
      </w:r>
      <w:r>
        <w:fldChar w:fldCharType="end"/>
      </w:r>
      <w:r>
        <w:rPr>
          <w:rStyle w:val="CharStyle10"/>
        </w:rPr>
        <w:t>№ 35359/25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 xml:space="preserve">ГКУ «СМТК» Москомспорта </w:t>
      </w:r>
      <w:r>
        <w:fldChar w:fldCharType="begin"/>
      </w:r>
      <w:r>
        <w:rPr/>
        <w:instrText> HYPERLINK "mailto:tpsmtk@dfks.mos.ru" </w:instrText>
      </w:r>
      <w:r>
        <w:fldChar w:fldCharType="separate"/>
      </w:r>
      <w:r>
        <w:rPr>
          <w:rStyle w:val="CharStyle12"/>
          <w:lang w:val="en-US" w:eastAsia="en-US"/>
        </w:rPr>
        <w:t>tpsmtk@dfks.mos.ru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 xml:space="preserve">ГБУ «Московская академия современного пятиборь» </w:t>
      </w:r>
      <w:r>
        <w:fldChar w:fldCharType="begin"/>
      </w:r>
      <w:r>
        <w:rPr/>
        <w:instrText> HYPERLINK "mailto:contract.mamp@mossport.ru" </w:instrText>
      </w:r>
      <w:r>
        <w:fldChar w:fldCharType="separate"/>
      </w:r>
      <w:r>
        <w:rPr>
          <w:rStyle w:val="CharStyle12"/>
          <w:lang w:val="en-US" w:eastAsia="en-US"/>
        </w:rPr>
        <w:t>contract.mamp@mossport.ru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 xml:space="preserve">ООО «Транссервис» </w:t>
      </w:r>
      <w:r>
        <w:fldChar w:fldCharType="begin"/>
      </w:r>
      <w:r>
        <w:rPr/>
        <w:instrText> HYPERLINK "mailto:trserv@bk.ru" </w:instrText>
      </w:r>
      <w:r>
        <w:fldChar w:fldCharType="separate"/>
      </w:r>
      <w:r>
        <w:rPr>
          <w:rStyle w:val="CharStyle12"/>
          <w:lang w:val="en-US" w:eastAsia="en-US"/>
        </w:rPr>
        <w:t>trserv@bk.ru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942" w:bottom="708" w:left="1264" w:header="0" w:footer="3" w:gutter="0"/>
          <w:pgNumType w:start="1"/>
          <w:cols w:num="2" w:space="1265"/>
          <w:noEndnote/>
          <w:titlePg/>
          <w:rtlGutter w:val="0"/>
          <w:docGrid w:linePitch="360"/>
        </w:sectPr>
      </w:pPr>
      <w:r>
        <w:rPr>
          <w:rStyle w:val="CharStyle12"/>
        </w:rPr>
        <w:t xml:space="preserve">АО«ЕЭТП»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12"/>
          <w:lang w:val="en-US" w:eastAsia="en-US"/>
        </w:rPr>
        <w:t>ko@roseltorg.ru</w:t>
      </w:r>
      <w:r>
        <w:fldChar w:fldCharType="end"/>
      </w:r>
    </w:p>
    <w:p>
      <w:pPr>
        <w:widowControl w:val="0"/>
        <w:spacing w:after="335" w:line="1" w:lineRule="exact"/>
      </w:pP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708660</wp:posOffset>
            </wp:positionH>
            <wp:positionV relativeFrom="paragraph">
              <wp:posOffset>12700</wp:posOffset>
            </wp:positionV>
            <wp:extent cx="219710" cy="213360"/>
            <wp:wrapNone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19710" cy="2133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4" w:right="532" w:bottom="655" w:left="110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54" w:after="5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72" w:right="0" w:bottom="88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ПРЕДПИСАНИЕ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№077/06/106-10651/2025 </w:t>
      </w:r>
      <w:r>
        <w:rPr>
          <w:rStyle w:val="CharStyle12"/>
          <w:b/>
          <w:bCs/>
        </w:rPr>
        <w:t>об устранении нарушений</w:t>
        <w:br/>
        <w:t>законодательства о контрактной системе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95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  <w:b/>
          <w:bCs/>
          <w:lang w:val="en-US" w:eastAsia="en-US"/>
        </w:rPr>
        <w:t>29.08.2025</w:t>
        <w:tab/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720"/>
        <w:jc w:val="both"/>
      </w:pPr>
      <w:r>
        <w:rPr>
          <w:rStyle w:val="CharStyle12"/>
        </w:rPr>
        <w:t xml:space="preserve">Председательствующего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главного государственного инспектора отдела обжалования государственных закупок А.А.Кутейникова,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720"/>
        <w:jc w:val="both"/>
      </w:pPr>
      <w:r>
        <w:rPr>
          <w:rStyle w:val="CharStyle12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720"/>
        <w:jc w:val="both"/>
      </w:pPr>
      <w:r>
        <w:rPr>
          <w:rStyle w:val="CharStyle12"/>
        </w:rPr>
        <w:t>Главного специалиста-эксперта отдела обжалования государственных закупок А.А.Матюшенко,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720"/>
        <w:jc w:val="both"/>
      </w:pPr>
      <w:r>
        <w:rPr>
          <w:rStyle w:val="CharStyle12"/>
        </w:rPr>
        <w:t>Специалиста-эксперта отдела обжалования государственных закупок О.А.Челновой,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на основании решения Комиссии от </w:t>
      </w:r>
      <w:r>
        <w:rPr>
          <w:rStyle w:val="CharStyle12"/>
          <w:b/>
          <w:bCs/>
          <w:lang w:val="en-US" w:eastAsia="en-US"/>
        </w:rPr>
        <w:t xml:space="preserve">29.08.2025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>№077/06/106</w:t>
        <w:softHyphen/>
        <w:t>10651/2025</w:t>
      </w:r>
      <w:r>
        <w:rPr>
          <w:rStyle w:val="CharStyle12"/>
          <w:lang w:val="en-US" w:eastAsia="en-US"/>
        </w:rPr>
        <w:t xml:space="preserve">, </w:t>
      </w:r>
      <w:r>
        <w:rPr>
          <w:rStyle w:val="CharStyle12"/>
        </w:rPr>
        <w:t xml:space="preserve">по итогам рассмотрения жалобы ООО «ТрансСервис»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Заявитель) на действия ГБУ «Московская академия современного пятиборья»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Заказчик) при проведении электронного аукциона на право заключения государственного контракта на поставку противогололедного реагента (Закупка </w:t>
      </w:r>
      <w:r>
        <w:rPr>
          <w:rStyle w:val="CharStyle12"/>
          <w:lang w:val="en-US" w:eastAsia="en-US"/>
        </w:rPr>
        <w:t xml:space="preserve">№0373200068625000506)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электронный аукцион, аукцион), в соответствии с Федеральным законом от </w:t>
      </w:r>
      <w:r>
        <w:rPr>
          <w:rStyle w:val="CharStyle12"/>
          <w:lang w:val="en-US" w:eastAsia="en-US"/>
        </w:rPr>
        <w:t xml:space="preserve">05.04.2013 № </w:t>
      </w:r>
      <w:r>
        <w:rPr>
          <w:rStyle w:val="CharStyle12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Закон о контрактной системе),</w:t>
      </w:r>
    </w:p>
    <w:p>
      <w:pPr>
        <w:widowControl w:val="0"/>
        <w:spacing w:line="1" w:lineRule="exact"/>
      </w:pPr>
      <w:r>
        <w:drawing>
          <wp:anchor distT="12065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1206500</wp:posOffset>
            </wp:positionV>
            <wp:extent cx="1511935" cy="292735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>ПРЕДПИСЫВАЕТ: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Заказчику, комиссии по осуществлению закупок Заказчика отменить Протокол подведения итогов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Протокол) и назначить новую дату подведения итогов определения поставщика (подрядчика, исполнителя). При этом, дата подведения итогов определения поставщика (подрядчика, исполнителя) должна быть назначена не ранее чем через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>рабочих дня со дня отмены Протокола.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Оператору электронной площадки не позднее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рабочего дня со дня исполнения пункта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настоящего предписания уведомить участников закупки, подавших заявки на участие в Аукционе, в том числе Заявителя, об отмене Протокола, о новой дате подведения итогов определения поставщика (подрядчика, исполнителя), а также о необходимости наличия на специальных счетах,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рабочих дня со дня направления Оператором электронной площадки уведомления, указанного в пункте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>настоящего предписания.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Комиссии по осуществлению закупок Заказчика рассмотреть заявки, поданные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от </w:t>
      </w:r>
      <w:r>
        <w:rPr>
          <w:rStyle w:val="CharStyle12"/>
          <w:b/>
          <w:bCs/>
          <w:lang w:val="en-US" w:eastAsia="en-US"/>
        </w:rPr>
        <w:t xml:space="preserve">29.08.2025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>№077/06/106-10651/2025.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Заказчику, комиссии по осуществлению закупок Заказчика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от </w:t>
      </w:r>
      <w:r>
        <w:rPr>
          <w:rStyle w:val="CharStyle12"/>
          <w:b/>
          <w:bCs/>
          <w:lang w:val="en-US" w:eastAsia="en-US"/>
        </w:rPr>
        <w:t xml:space="preserve">29.08.2025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>№077/06/106-10651/2025.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rStyle w:val="CharStyle12"/>
        </w:rPr>
        <w:t xml:space="preserve">Заказчику, комиссии по осуществлению закупок Заказчика в срок до </w:t>
      </w:r>
      <w:r>
        <w:rPr>
          <w:rStyle w:val="CharStyle12"/>
          <w:b/>
          <w:bCs/>
          <w:lang w:val="en-US" w:eastAsia="en-US"/>
        </w:rPr>
        <w:t xml:space="preserve">29.09.2025 </w:t>
      </w:r>
      <w:r>
        <w:rPr>
          <w:rStyle w:val="CharStyle12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</w:t>
      </w:r>
      <w:r>
        <w:rPr>
          <w:rStyle w:val="CharStyle12"/>
          <w:lang w:val="en-US" w:eastAsia="en-US"/>
        </w:rPr>
        <w:t xml:space="preserve">8(495) 607-42-92), </w:t>
      </w:r>
      <w:r>
        <w:rPr>
          <w:rStyle w:val="CharStyle12"/>
        </w:rPr>
        <w:t xml:space="preserve">или 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12"/>
          <w:color w:val="000080"/>
          <w:u w:val="single"/>
          <w:lang w:val="en-US" w:eastAsia="en-US"/>
        </w:rPr>
        <w:t>to77@fas.gov.ru</w:t>
      </w:r>
      <w:r>
        <w:fldChar w:fldCharType="end"/>
      </w:r>
      <w:r>
        <w:rPr>
          <w:rStyle w:val="CharStyle12"/>
          <w:lang w:val="en-US" w:eastAsia="en-US"/>
        </w:rPr>
        <w:t>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2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</w:t>
      </w:r>
      <w:r>
        <w:rPr>
          <w:rStyle w:val="CharStyle12"/>
          <w:lang w:val="en-US" w:eastAsia="en-US"/>
        </w:rPr>
        <w:t xml:space="preserve">7.1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19.5 </w:t>
      </w:r>
      <w:r>
        <w:rPr>
          <w:rStyle w:val="CharStyle12"/>
        </w:rPr>
        <w:t xml:space="preserve">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пятисот тысяч рублей в соответствии с ч.7 ст.19.5 Кодекса Российской Федерации об административных правонарушениях.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Настоящее предписание от </w:t>
      </w:r>
      <w:r>
        <w:rPr>
          <w:rStyle w:val="CharStyle12"/>
          <w:b/>
          <w:bCs/>
          <w:lang w:val="en-US" w:eastAsia="en-US"/>
        </w:rPr>
        <w:t xml:space="preserve">29.08.2025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 077/06/106-10651/2025 </w:t>
      </w:r>
      <w:r>
        <w:rPr>
          <w:rStyle w:val="CharStyle12"/>
        </w:rPr>
        <w:t xml:space="preserve">может быть обжаловано в судебном порядке в Арбитражном суде г. Москвы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(трех) месяцев с даты его принятия в порядке, установленным главой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72" w:right="534" w:bottom="884" w:left="110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40995" distL="0" distR="0" simplePos="0" relativeHeight="125829379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127000</wp:posOffset>
                </wp:positionV>
                <wp:extent cx="1844040" cy="25019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58.200000000000003pt;margin-top:10.pt;width:145.20000000000002pt;height:19.699999999999999pt;z-index:-125829374;mso-wrap-distance-left:0;mso-wrap-distance-top:10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3830" distB="0" distL="0" distR="1786255" simplePos="0" relativeHeight="125829381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163830</wp:posOffset>
            </wp:positionV>
            <wp:extent cx="389890" cy="554990"/>
            <wp:wrapTopAndBottom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602615</wp:posOffset>
                </wp:positionV>
                <wp:extent cx="1283335" cy="100330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4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80.94999999999999pt;margin-top:47.45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4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285750</wp:posOffset>
                </wp:positionV>
                <wp:extent cx="1722120" cy="259080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77.80000000000001pt;margin-top:22.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40995" distL="0" distR="0" simplePos="0" relativeHeight="125829382" behindDoc="0" locked="0" layoutInCell="1" allowOverlap="1">
                <wp:simplePos x="0" y="0"/>
                <wp:positionH relativeFrom="page">
                  <wp:posOffset>5908675</wp:posOffset>
                </wp:positionH>
                <wp:positionV relativeFrom="paragraph">
                  <wp:posOffset>127000</wp:posOffset>
                </wp:positionV>
                <wp:extent cx="1307465" cy="25019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465.25pt;margin-top:10.pt;width:102.95pt;height:19.699999999999999pt;z-index:-125829371;mso-wrap-distance-left:0;mso-wrap-distance-top:10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Кутейников Антон Андреевич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67950889C45403E5BD9EBC88A8D80C0D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19"/>
        </w:rPr>
        <w:t xml:space="preserve">Действителен с 19.05.2025 </w:t>
      </w:r>
      <w:r>
        <w:rPr>
          <w:rStyle w:val="CharStyle19"/>
          <w:color w:val="5D5D5D"/>
        </w:rPr>
        <w:t xml:space="preserve">по </w:t>
      </w:r>
      <w:r>
        <w:rPr>
          <w:rStyle w:val="CharStyle19"/>
        </w:rPr>
        <w:t>12.08.2026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77.75pt;margin-top:11.7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А.А. Матюшенко</w: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24"/>
          <w:color w:val="FFFFFF"/>
          <w:sz w:val="12"/>
          <w:szCs w:val="12"/>
        </w:rPr>
        <w:t>СВЕДЕНИЯ О СЕРТИФИКАТЕ ЭП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Матюшенко Александр Александрович</w:t>
      </w:r>
      <w:r>
        <w:rPr>
          <w:rStyle w:val="CharStyle19"/>
          <w:color w:val="000000"/>
        </w:rPr>
        <w:t xml:space="preserve"> </w:t>
      </w: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4F595A5C3E5ABB2DD77161F08559FC07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820" w:line="266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5" behindDoc="0" locked="0" layoutInCell="1" allowOverlap="1">
                <wp:simplePos x="0" y="0"/>
                <wp:positionH relativeFrom="page">
                  <wp:posOffset>6170295</wp:posOffset>
                </wp:positionH>
                <wp:positionV relativeFrom="paragraph">
                  <wp:posOffset>457200</wp:posOffset>
                </wp:positionV>
                <wp:extent cx="1048385" cy="250190"/>
                <wp:wrapSquare wrapText="bothSides"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838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О.А. Челнова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485.85000000000002pt;margin-top:36.pt;width:82.549999999999997pt;height:19.699999999999999pt;z-index:-12582936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О.А. Челнова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9"/>
        </w:rPr>
        <w:t xml:space="preserve">Действителен с 22.07.2025 </w:t>
      </w:r>
      <w:r>
        <w:rPr>
          <w:rStyle w:val="CharStyle19"/>
          <w:color w:val="5D5D5D"/>
        </w:rPr>
        <w:t xml:space="preserve">по </w:t>
      </w:r>
      <w:r>
        <w:rPr>
          <w:rStyle w:val="CharStyle19"/>
        </w:rPr>
        <w:t>15.10.2026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left="4460" w:right="0" w:firstLine="0"/>
        <w:jc w:val="left"/>
      </w:pPr>
      <w:r>
        <w:rPr>
          <w:rStyle w:val="CharStyle24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24"/>
          <w:color w:val="FFFFFF"/>
          <w:sz w:val="12"/>
          <w:szCs w:val="12"/>
        </w:rPr>
        <w:t>СВЕДЕНИЯ О СЕРТИФИКАТЕ ЭП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Челнова Олеся Антоновна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05605B6072C3BC92D25AFCA81C80B531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1080" w:line="240" w:lineRule="auto"/>
        <w:ind w:right="0" w:firstLine="0"/>
        <w:jc w:val="left"/>
      </w:pPr>
      <w:r>
        <w:rPr>
          <w:rStyle w:val="CharStyle19"/>
        </w:rPr>
        <w:t xml:space="preserve">Действителен с 23.05.2025 </w:t>
      </w:r>
      <w:r>
        <w:rPr>
          <w:rStyle w:val="CharStyle19"/>
          <w:color w:val="5D5D5D"/>
        </w:rPr>
        <w:t xml:space="preserve">по </w:t>
      </w:r>
      <w:r>
        <w:rPr>
          <w:rStyle w:val="CharStyle19"/>
        </w:rPr>
        <w:t>16.08.2026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7"/>
        </w:rPr>
        <w:t>Исп.Челнова О.А.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27"/>
        </w:rPr>
        <w:t>тел.(495) 784-75-05, вн. 077-216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6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728345</wp:posOffset>
              </wp:positionH>
              <wp:positionV relativeFrom="page">
                <wp:posOffset>10003790</wp:posOffset>
              </wp:positionV>
              <wp:extent cx="722630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2025-39850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350000000000001pt;margin-top:787.70000000000005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2025-39850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10214610</wp:posOffset>
              </wp:positionV>
              <wp:extent cx="734695" cy="12827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2025-39850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4.30000000000007pt;width:57.850000000000001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2025-39850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384810</wp:posOffset>
              </wp:positionV>
              <wp:extent cx="7620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10000000000002pt;margin-top:30.300000000000001pt;width:6.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Picture caption_"/>
    <w:basedOn w:val="DefaultParagraphFont"/>
    <w:link w:val="Style1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9">
    <w:name w:val="Body text (2)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24">
    <w:name w:val="Body text (4)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7">
    <w:name w:val="Body text (5)_"/>
    <w:basedOn w:val="DefaultParagraphFont"/>
    <w:link w:val="Styl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Picture caption"/>
    <w:basedOn w:val="Normal"/>
    <w:link w:val="CharStyle1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8">
    <w:name w:val="Body text (2)"/>
    <w:basedOn w:val="Normal"/>
    <w:link w:val="CharStyle19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3">
    <w:name w:val="Body text (4)"/>
    <w:basedOn w:val="Normal"/>
    <w:link w:val="CharStyle24"/>
    <w:pPr>
      <w:widowControl w:val="0"/>
      <w:shd w:val="clear" w:color="auto" w:fill="auto"/>
      <w:spacing w:after="100"/>
      <w:ind w:left="449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6">
    <w:name w:val="Body text (5)"/>
    <w:basedOn w:val="Normal"/>
    <w:link w:val="CharStyle27"/>
    <w:pPr>
      <w:widowControl w:val="0"/>
      <w:shd w:val="clear" w:color="auto" w:fill="auto"/>
      <w:spacing w:after="5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png"/><Relationship Id="rId14" Type="http://schemas.openxmlformats.org/officeDocument/2006/relationships/image" Target="media/image3.pn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