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01.09.2025</w:t>
        <w:tab/>
      </w:r>
      <w:r>
        <w:fldChar w:fldCharType="end"/>
      </w:r>
      <w:r>
        <w:rPr>
          <w:rStyle w:val="CharStyle10"/>
        </w:rPr>
        <w:t>№ 34959/25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ФГБУ «Росдортехнология» </w:t>
      </w:r>
      <w:r>
        <w:fldChar w:fldCharType="begin"/>
      </w:r>
      <w:r>
        <w:rPr/>
        <w:instrText> HYPERLINK "mailto:secretar@rosdt.ru" </w:instrText>
      </w:r>
      <w:r>
        <w:fldChar w:fldCharType="separate"/>
      </w:r>
      <w:r>
        <w:rPr>
          <w:rStyle w:val="CharStyle12"/>
          <w:lang w:val="en-US" w:eastAsia="en-US"/>
        </w:rPr>
        <w:t>secretar@rosdt.ru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ООО «Панорама»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2187" w:bottom="708" w:left="1264" w:header="0" w:footer="3" w:gutter="0"/>
          <w:pgNumType w:start="1"/>
          <w:cols w:num="2" w:space="720" w:equalWidth="0">
            <w:col w:w="3835" w:space="1301"/>
            <w:col w:w="3312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"mailto:p.ignatov@alfa-biz.ru" </w:instrText>
      </w:r>
      <w:r>
        <w:fldChar w:fldCharType="separate"/>
      </w:r>
      <w:r>
        <w:rPr>
          <w:rStyle w:val="CharStyle12"/>
          <w:lang w:val="en-US" w:eastAsia="en-US"/>
        </w:rPr>
        <w:t>p.ignatov@alfa-biz.ru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8" w:after="4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29" w:right="0" w:bottom="110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№077/06/106-10656/2025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28.08.2025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О.А. Челновой,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при участии представителей: ФГБУ «Росдортехнология»: Д.А. Бирюкова (по доверенности </w:t>
      </w:r>
      <w:r>
        <w:rPr>
          <w:rStyle w:val="CharStyle12"/>
          <w:lang w:val="en-US" w:eastAsia="en-US"/>
        </w:rPr>
        <w:t xml:space="preserve">№031-25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14.01.2025), </w:t>
      </w:r>
      <w:r>
        <w:rPr>
          <w:rStyle w:val="CharStyle12"/>
        </w:rPr>
        <w:t xml:space="preserve">М.Л. Гудковой (по доверенности </w:t>
      </w:r>
      <w:r>
        <w:rPr>
          <w:rStyle w:val="CharStyle12"/>
          <w:lang w:val="en-US" w:eastAsia="en-US"/>
        </w:rPr>
        <w:t xml:space="preserve">№081-25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27.08.2025), </w:t>
      </w:r>
      <w:r>
        <w:rPr>
          <w:rStyle w:val="CharStyle12"/>
        </w:rPr>
        <w:t xml:space="preserve">А.А. Моисеевой (по доверенности </w:t>
      </w:r>
      <w:r>
        <w:rPr>
          <w:rStyle w:val="CharStyle12"/>
          <w:lang w:val="en-US" w:eastAsia="en-US"/>
        </w:rPr>
        <w:t xml:space="preserve">№068-25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17.07.2025),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отсутствие представителей ООО «Панорама», о времени и порядке заседания Комиссии Управления уведомленных посредством функционала Единой информационной системы,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ООО «Панорама»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Заявитель) на действия ФГБУ «Росдортехнология»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Заказчик) при проведении электронного аукциона на право заключения государственного контракта на поставку расходных материалов для оргтехники (черные картриджи) (Закупка №</w:t>
      </w:r>
      <w:r>
        <w:rPr>
          <w:rStyle w:val="CharStyle12"/>
          <w:color w:val="111111"/>
        </w:rPr>
        <w:t>0373100012725000011)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after="476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</wp:posOffset>
            </wp:positionV>
            <wp:extent cx="1511935" cy="29273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составе в жалобы Заявитель указывает, что в описании объекта закупки Заказчиком установлен неисполнимый срок поставки расходных материалов.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п.6,8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количестве (за исключением случая, предусмотренного ч.24 ст.22 Закона о контрактной системе), единице измерения и месте поставки товара (при осуществлении закупки товара, в том числе поставляемого заказчику при выполнении закупаемых работ, оказании закупаемых услуг), сроках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силу п.1 ч.13 ст.34 Закона о контрактной системе в контракт включаются обязательные условия о порядке и сроках оплаты товара, работы или услуги, в том числе с учетом положений части </w:t>
      </w:r>
      <w:r>
        <w:rPr>
          <w:rStyle w:val="CharStyle12"/>
          <w:lang w:val="en-US" w:eastAsia="en-US"/>
        </w:rPr>
        <w:t xml:space="preserve">13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37 </w:t>
      </w:r>
      <w:r>
        <w:rPr>
          <w:rStyle w:val="CharStyle12"/>
        </w:rPr>
        <w:t xml:space="preserve">Закона о контрактной системе, о порядке и сроках 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о порядке и сроках оформления результатов такой приемки, а также о порядке и сроке предоставления поставщиком (подрядчиком, исполнителем) обеспечения гарантийных обязательств в случае установления в соответствии со статьей </w:t>
      </w:r>
      <w:r>
        <w:rPr>
          <w:rStyle w:val="CharStyle12"/>
          <w:lang w:val="en-US" w:eastAsia="en-US"/>
        </w:rPr>
        <w:t xml:space="preserve">96 </w:t>
      </w:r>
      <w:r>
        <w:rPr>
          <w:rStyle w:val="CharStyle12"/>
        </w:rPr>
        <w:t xml:space="preserve">настоящего Федерального закона требования обеспечения гарантийных обязательств. В случае, предусмотренном частью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22 </w:t>
      </w:r>
      <w:r>
        <w:rPr>
          <w:rStyle w:val="CharStyle12"/>
        </w:rPr>
        <w:t>Закона о контрактной системе, контракт должен содержать условие о том, что оплата поставленного товара, выполненной работы, оказанной услуги осуществляется по цене единицы товара, работы, услуги исходя из количества поставленного товара, объема фактически выполненной работы или оказанной услуги, но в размере, не превышающем максимального значения цены контракта. В случае, если контрактом предусмотрены его поэтапное исполнение и выплата аванса, в контракт включается условие о размере аванса в отношении каждого этапа исполнения контракта в виде процента от размера цены соответствующего этапа.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в п.4 электронного файла описания объекта закупки Заказчиком определен порядок поставки закупаемых изделий, а именно: </w:t>
      </w:r>
      <w:r>
        <w:rPr>
          <w:rStyle w:val="CharStyle12"/>
          <w:i/>
          <w:iCs/>
        </w:rPr>
        <w:t xml:space="preserve">«Сроки поставки: в течение </w:t>
      </w:r>
      <w:r>
        <w:rPr>
          <w:rStyle w:val="CharStyle12"/>
          <w:i/>
          <w:iCs/>
          <w:lang w:val="en-US" w:eastAsia="en-US"/>
        </w:rPr>
        <w:t xml:space="preserve">5 </w:t>
      </w:r>
      <w:r>
        <w:rPr>
          <w:rStyle w:val="CharStyle12"/>
          <w:i/>
          <w:iCs/>
        </w:rPr>
        <w:t>(пяти) рабочих дней с даты заключения Контракта».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Вместе с тем, согласно п.3.1 Проекта контракта также определены сроки поставки товара: </w:t>
      </w:r>
      <w:r>
        <w:rPr>
          <w:rStyle w:val="CharStyle12"/>
          <w:lang w:val="en-US" w:eastAsia="en-US"/>
        </w:rPr>
        <w:t>«</w:t>
      </w:r>
      <w:r>
        <w:rPr>
          <w:rStyle w:val="CharStyle12"/>
          <w:i/>
          <w:iCs/>
          <w:lang w:val="en-US" w:eastAsia="en-US"/>
        </w:rPr>
        <w:t xml:space="preserve">3.1. </w:t>
      </w:r>
      <w:r>
        <w:rPr>
          <w:rStyle w:val="CharStyle12"/>
          <w:i/>
          <w:iCs/>
        </w:rPr>
        <w:t>Поставщик самостоятельно доставляет Товар Заказчику по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i/>
          <w:iCs/>
        </w:rPr>
        <w:t xml:space="preserve">адресу: ФГБУ «Росдортехнология» г. Москва Ленинградский проспект, д. </w:t>
      </w:r>
      <w:r>
        <w:rPr>
          <w:rStyle w:val="CharStyle12"/>
          <w:i/>
          <w:iCs/>
          <w:lang w:val="en-US" w:eastAsia="en-US"/>
        </w:rPr>
        <w:t xml:space="preserve">23, </w:t>
      </w:r>
      <w:r>
        <w:rPr>
          <w:rStyle w:val="CharStyle12"/>
          <w:i/>
          <w:iCs/>
        </w:rPr>
        <w:t xml:space="preserve">строен. </w:t>
      </w:r>
      <w:r>
        <w:rPr>
          <w:rStyle w:val="CharStyle12"/>
          <w:i/>
          <w:iCs/>
          <w:lang w:val="en-US" w:eastAsia="en-US"/>
        </w:rPr>
        <w:t xml:space="preserve">1, </w:t>
      </w:r>
      <w:r>
        <w:rPr>
          <w:rStyle w:val="CharStyle12"/>
          <w:i/>
          <w:iCs/>
        </w:rPr>
        <w:t xml:space="preserve">этаж </w:t>
      </w:r>
      <w:r>
        <w:rPr>
          <w:rStyle w:val="CharStyle12"/>
          <w:i/>
          <w:iCs/>
          <w:lang w:val="en-US" w:eastAsia="en-US"/>
        </w:rPr>
        <w:t xml:space="preserve">4 </w:t>
      </w:r>
      <w:r>
        <w:rPr>
          <w:rStyle w:val="CharStyle12"/>
          <w:i/>
          <w:iCs/>
        </w:rPr>
        <w:t xml:space="preserve">(далее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место доставки) в течение </w:t>
      </w:r>
      <w:r>
        <w:rPr>
          <w:rStyle w:val="CharStyle12"/>
          <w:i/>
          <w:iCs/>
          <w:lang w:val="en-US" w:eastAsia="en-US"/>
        </w:rPr>
        <w:t xml:space="preserve">5 </w:t>
      </w:r>
      <w:r>
        <w:rPr>
          <w:rStyle w:val="CharStyle12"/>
          <w:i/>
          <w:iCs/>
        </w:rPr>
        <w:t>(пяти) рабочих дней с даты заключения Сторонами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 xml:space="preserve">Поставщик не менее чем за </w:t>
      </w:r>
      <w:r>
        <w:rPr>
          <w:rStyle w:val="CharStyle12"/>
          <w:i/>
          <w:iCs/>
          <w:lang w:val="en-US" w:eastAsia="en-US"/>
        </w:rPr>
        <w:t xml:space="preserve">1 </w:t>
      </w:r>
      <w:r>
        <w:rPr>
          <w:rStyle w:val="CharStyle12"/>
          <w:i/>
          <w:iCs/>
        </w:rPr>
        <w:t>(один) рабочий день до осуществления поставки Товара направляет в адрес Заказчика уведомление о времени и дате доставки Товара в место доставки».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соответствии с ч.1 ст.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представители Заказчика пояснили, что при формировании описания объекта закупки, Заказчиком проанализирован рынок соответствующих товаров, а также направлены запросы о ценовой информации потенциальным участникам закупки. При этом в ответ на запросы Заказчиком получены коммерческие предложения, направленные в адрес Комиссии Управления, содержащие в себе, в том числе, информацию удовлетворяющую условию о сроке поставки товара в течение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>рабочих дней.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Учитывая, что законодательно не установлены конкретные сроки для оказания услуг на поставку расходных материалов, Заказчик, исходя из своих потребностей, самостоятельно определил такой срок.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Таким образом, исходя из количества поданных заявок на участие в закупке, согласно протоколу подведения итогов определения поставщика (подрядчика, исполнителя), а также полученных коммерческих предложений, представители Заказчика приходят к выводу о том, что установленный в описании объекта закупки срок поставки является исполнимым.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Вместе с тем Комиссия Управления отмечает, что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этом Закон о контрактной системе не вменяет Заказчикам обязанность обеспечить возможность участия в закупочной процедуре всех хозяйствующих субъектов оценивая их производственные мощности при планировании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Согласно ч.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>Закона о контрактной системе право представления информации и документов, подтверждающих обоснованность доводов жалобы, представлено подателю жалобы, однако в составе жалобы Заявителем, не представлено документов свидетельствующих о невозможности подачи заявки на участие в конкурсе, об ограничении количества участников закупки, при установлении оспариваемых требований, равно как не представлено доказательств того обстоятельства, что Заказчиком в составе технического задания, а также проекте контракта установлен неисполнимый срок поставки товаров, а также нет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документального подтверждения указывающего на то, что в установленный Заказчиком срок услуги оказать невозможно.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Таким образом, Заявителем не представлено документов и сведений, подтверждающих обоснованность вышеуказанных доводов жалобы, в том числе в части невозможности подготовить заявку на участие в конкурсе при установлении вышеуказанных требований, а также свидетельствующих о нарушении Заказчиком норм Закона о контрактной системе. Ввиду чего у Комиссии Управления отсутствуют правовые основания считать Заказчика нарушившим требования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Также Заявителем не представлено доказательств того, что у Заказчика объективно отсутствует необходимость в получении именно того комплекса товаров, с теми техническими характеристиками и именно в те сроки, которые указаны в извещении. В свою очередь, при наличии у Заказчика потребности в получении определенных товаров, вести речь о необоснованном ограничении им количества потенциальных участников размещения закупки не приходится. Доказательств обратного Заявителем Комиссии Управления не представлено.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Кроме того, Комиссия также отмечает, что предъявленные Заказчиком требования к срокам поставки товаров в равной степени распространялись на всех участников аукциона, ввиду чего любое лицо обладало возможностью предложить свои товары. Каких-либо доказательств невозможности совершения данных действий Заявителем не представлено, ввиду чего у Комиссии отсутствуют правовые основания считать Заказчика нарушившим требования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27.08.2025 </w:t>
      </w:r>
      <w:r>
        <w:rPr>
          <w:rStyle w:val="CharStyle12"/>
        </w:rPr>
        <w:t xml:space="preserve">№ИЭА1 на участие в закупочной процедуре подано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>заявок, что также свидетельствует об отсутствии ограничений количества участков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Таким образом, на основании имеющихся документов и сведений, а также с учетом пояснений представителя Заказчика, Комиссия Управления приходит к выводу, что довод жалобы Заявителя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Кроме того, в составе жалобы Заявитель также указывает на то, что Заказчиком нарушаются положения Федерального закона от </w:t>
      </w:r>
      <w:r>
        <w:rPr>
          <w:rStyle w:val="CharStyle12"/>
          <w:lang w:val="en-US" w:eastAsia="en-US"/>
        </w:rPr>
        <w:t xml:space="preserve">26.07.2006 № 135- </w:t>
      </w:r>
      <w:r>
        <w:rPr>
          <w:rStyle w:val="CharStyle12"/>
        </w:rPr>
        <w:t xml:space="preserve">ФЗ «О защите конкуренции»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Закон о защите конкуренции). При этом жалобы Заявителя на действия Заказчика, исходя из совокупного содержания, поданы в Московское УФАС России в порядке главы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>Закона о контрактной системе и рассмотрена Комиссией Управления в соответствии с требованиями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Следует отметить, что в рамках рассмотрения данных жалоб Комиссия Управления не вправе давать оценку действиям Заказчика в части наличия или отсутствия нарушений Закона о защите конкуренции, так как дела о нарушении антимонопольного законодательства рассматриваются в соответствии с Законом о защите конкуренции по процедуре, предусмотренной Административным регламентом Федеральной антимонопольной службы по исполнению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государственной функции по возбуждению и рассмотрению дел о нарушениях антимонопольного законодательства, утвержденным приказом ФАС России от </w:t>
      </w:r>
      <w:r>
        <w:rPr>
          <w:rStyle w:val="CharStyle12"/>
          <w:lang w:val="en-US" w:eastAsia="en-US"/>
        </w:rPr>
        <w:t>25.05.2012 № 339.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Учитывая, что в рамках рассмотрения данных жалоб Комиссия Управления по контролю в сфере закупок не обладает полномочиями по рассмотрению жалоб и обращений в порядке, предусмотренном Законом о защите конкуренции, рассмотрение доводов жалобы в отношении нарушении Закона о защите конкуренции не может быть осуществлено.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Р Е Ш И Л А: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.Признать жалобу ООО «Панорама» на действия ФГБУ «Росдортехнология»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240" w:line="240" w:lineRule="auto"/>
        <w:ind w:left="0" w:right="0" w:firstLine="700"/>
        <w:jc w:val="both"/>
      </w:pPr>
      <w:r>
        <w:rPr>
          <w:rStyle w:val="CharStyle12"/>
        </w:rPr>
        <w:t>.Снять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29" w:right="536" w:bottom="1101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0383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4404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950000000000003pt;margin-top:10.pt;width:145.20000000000002pt;height:19.699999999999999pt;z-index:-125829375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5265" distB="0" distL="0" distR="1804670" simplePos="0" relativeHeight="125829380" behindDoc="0" locked="0" layoutInCell="1" allowOverlap="1">
            <wp:simplePos x="0" y="0"/>
            <wp:positionH relativeFrom="page">
              <wp:posOffset>3128645</wp:posOffset>
            </wp:positionH>
            <wp:positionV relativeFrom="paragraph">
              <wp:posOffset>215265</wp:posOffset>
            </wp:positionV>
            <wp:extent cx="316865" cy="36576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285115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55000000000001pt;margin-top:22.44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3835" distL="0" distR="0" simplePos="0" relativeHeight="125829381" behindDoc="0" locked="0" layoutInCell="1" allowOverlap="1">
                <wp:simplePos x="0" y="0"/>
                <wp:positionH relativeFrom="page">
                  <wp:posOffset>5905500</wp:posOffset>
                </wp:positionH>
                <wp:positionV relativeFrom="paragraph">
                  <wp:posOffset>127000</wp:posOffset>
                </wp:positionV>
                <wp:extent cx="1307465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65.pt;margin-top:10.pt;width:102.95pt;height:19.699999999999999pt;z-index:-125829372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Кутейников Антон Андреевич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67950889C45403E5BD9EBC88A8D80C0D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rStyle w:val="CharStyle22"/>
        </w:rPr>
        <w:t xml:space="preserve">Действителен с 19.05.2025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3564890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0.69999999999999pt;margin-top:36.700000000000003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55000000000001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Матюшенко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Матюшенко Александр Александрович</w:t>
      </w:r>
      <w:r>
        <w:rPr>
          <w:rStyle w:val="CharStyle22"/>
          <w:color w:val="000000"/>
        </w:rPr>
        <w:t xml:space="preserve"> </w:t>
      </w: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4F595A5C3E5ABB2DD77161F08559FC07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40" w:line="266" w:lineRule="auto"/>
        <w:ind w:right="0" w:firstLine="0"/>
        <w:jc w:val="left"/>
      </w:pPr>
      <w:r>
        <w:rPr>
          <w:rStyle w:val="CharStyle22"/>
        </w:rPr>
        <w:t xml:space="preserve">Действителен с 22.07.2025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15.10.2026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55000000000001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О.А. Челнова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Челнова Олеся Антоновна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05605B6072C3BC92D25AFCA81C80B531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rStyle w:val="CharStyle22"/>
        </w:rPr>
        <w:t xml:space="preserve">Действителен с 23.05.2025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16.08.2026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Исп.Челнова О.А. тел.(495) 784-75-05, вн. 077-216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22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9863455</wp:posOffset>
              </wp:positionV>
              <wp:extent cx="7226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2025-39562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450000000000003pt;margin-top:776.64999999999998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2025-39562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22630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2025-39562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30000000000007pt;width:56.899999999999999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2025-39562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415925</wp:posOffset>
              </wp:positionV>
              <wp:extent cx="64135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25pt;margin-top:32.75pt;width:5.0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4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7">
    <w:name w:val="Body text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4)"/>
    <w:basedOn w:val="Normal"/>
    <w:link w:val="CharStyle20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