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1782445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800735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02.09.2025</w:t>
                              <w:tab/>
                            </w:r>
                            <w:r>
                              <w:fldChar w:fldCharType="end"/>
                            </w:r>
                            <w:r>
                              <w:rPr>
                                <w:rStyle w:val="CharStyle7"/>
                                <w:sz w:val="30"/>
                                <w:szCs w:val="30"/>
                              </w:rPr>
                              <w:t>№ 35243/25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050000000000004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02.09.2025</w:t>
                        <w:tab/>
                      </w:r>
                      <w:r>
                        <w:fldChar w:fldCharType="end"/>
                      </w:r>
                      <w:r>
                        <w:rPr>
                          <w:rStyle w:val="CharStyle7"/>
                          <w:sz w:val="30"/>
                          <w:szCs w:val="30"/>
                        </w:rPr>
                        <w:t>№ 35243/25</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rStyle w:val="CharStyle7"/>
        </w:rPr>
        <w:t xml:space="preserve">Московско-Окское БВУ </w:t>
      </w:r>
      <w:r>
        <w:fldChar w:fldCharType="begin"/>
      </w:r>
      <w:r>
        <w:rPr/>
        <w:instrText> HYPERLINK "mailto:zakupki@m-obvu.ru" </w:instrText>
      </w:r>
      <w:r>
        <w:fldChar w:fldCharType="separate"/>
      </w:r>
      <w:r>
        <w:rPr>
          <w:rStyle w:val="CharStyle7"/>
          <w:lang w:val="en-US" w:eastAsia="en-US"/>
        </w:rPr>
        <w:t>zakupki@m-obvu.ru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 xml:space="preserve">ООО «ТД «Политон-Тех» </w:t>
      </w:r>
      <w:r>
        <w:fldChar w:fldCharType="begin"/>
      </w:r>
      <w:r>
        <w:rPr/>
        <w:instrText> HYPERLINK "mailto:politon_td@mail.ru" </w:instrText>
      </w:r>
      <w:r>
        <w:fldChar w:fldCharType="separate"/>
      </w:r>
      <w:r>
        <w:rPr>
          <w:rStyle w:val="CharStyle7"/>
          <w:lang w:val="en-US" w:eastAsia="en-US"/>
        </w:rPr>
        <w:t>politon_td@mail.ru</w:t>
      </w:r>
      <w:r>
        <w:fldChar w:fldCharType="end"/>
      </w:r>
    </w:p>
    <w:p>
      <w:pPr>
        <w:pStyle w:val="Style6"/>
        <w:keepNext w:val="0"/>
        <w:keepLines w:val="0"/>
        <w:widowControl w:val="0"/>
        <w:shd w:val="clear" w:color="auto" w:fill="auto"/>
        <w:bidi w:val="0"/>
        <w:spacing w:before="0" w:after="2620" w:line="240" w:lineRule="auto"/>
        <w:ind w:left="1140" w:right="0" w:firstLine="0"/>
        <w:jc w:val="both"/>
      </w:pPr>
      <w:r>
        <w:rPr>
          <w:rStyle w:val="CharStyle7"/>
        </w:rPr>
        <w:t xml:space="preserve">АО «ТЭК-Торг» </w:t>
      </w:r>
      <w:r>
        <w:fldChar w:fldCharType="begin"/>
      </w:r>
      <w:r>
        <w:rPr/>
        <w:instrText> HYPERLINK "mailto:help@tektorg.ru" </w:instrText>
      </w:r>
      <w:r>
        <w:fldChar w:fldCharType="separate"/>
      </w:r>
      <w:r>
        <w:rPr>
          <w:rStyle w:val="CharStyle7"/>
          <w:lang w:val="en-US" w:eastAsia="en-US"/>
        </w:rPr>
        <w:t>help@tektorg.ru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077/06/106-10777/2025 </w:t>
      </w:r>
      <w:r>
        <w:rPr>
          <w:rStyle w:val="CharStyle7"/>
          <w:b/>
          <w:bCs/>
        </w:rPr>
        <w:t>о нарушении</w:t>
        <w:br/>
        <w:t>законодательства о контрактной системе</w:t>
        <w:br/>
      </w:r>
      <w:r>
        <w:rPr>
          <w:rStyle w:val="CharStyle7"/>
          <w:b/>
          <w:bCs/>
          <w:lang w:val="en-US" w:eastAsia="en-US"/>
        </w:rPr>
        <w:t>28.08.2025</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Председательствующего </w:t>
      </w:r>
      <w:r>
        <w:rPr>
          <w:rStyle w:val="CharStyle7"/>
          <w:lang w:val="en-US" w:eastAsia="en-US"/>
        </w:rPr>
        <w:t xml:space="preserve">– </w:t>
      </w:r>
      <w:r>
        <w:rPr>
          <w:rStyle w:val="CharStyle7"/>
        </w:rPr>
        <w:t>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620"/>
        <w:jc w:val="both"/>
      </w:pPr>
      <w:r>
        <w:rPr>
          <w:rStyle w:val="CharStyle7"/>
        </w:rPr>
        <w:t>Членов Комиссии:</w:t>
      </w:r>
    </w:p>
    <w:p>
      <w:pPr>
        <w:pStyle w:val="Style6"/>
        <w:keepNext w:val="0"/>
        <w:keepLines w:val="0"/>
        <w:widowControl w:val="0"/>
        <w:shd w:val="clear" w:color="auto" w:fill="auto"/>
        <w:tabs>
          <w:tab w:pos="3630" w:val="left"/>
        </w:tabs>
        <w:bidi w:val="0"/>
        <w:spacing w:before="0" w:after="0" w:line="240" w:lineRule="auto"/>
        <w:ind w:left="0" w:right="0" w:firstLine="620"/>
        <w:jc w:val="both"/>
      </w:pPr>
      <w:r>
        <w:rPr>
          <w:rStyle w:val="CharStyle7"/>
        </w:rPr>
        <w:t>Специалиста-эксперта</w:t>
        <w:tab/>
        <w:t>отдела обжалования государственных закупок</w:t>
      </w:r>
    </w:p>
    <w:p>
      <w:pPr>
        <w:pStyle w:val="Style6"/>
        <w:keepNext w:val="0"/>
        <w:keepLines w:val="0"/>
        <w:widowControl w:val="0"/>
        <w:shd w:val="clear" w:color="auto" w:fill="auto"/>
        <w:bidi w:val="0"/>
        <w:spacing w:before="0" w:after="0" w:line="240" w:lineRule="auto"/>
        <w:ind w:left="0" w:right="0" w:firstLine="0"/>
        <w:jc w:val="left"/>
      </w:pPr>
      <w:r>
        <w:rPr>
          <w:rStyle w:val="CharStyle7"/>
        </w:rPr>
        <w:t>А.А. Леоновой,</w:t>
      </w:r>
    </w:p>
    <w:p>
      <w:pPr>
        <w:pStyle w:val="Style6"/>
        <w:keepNext w:val="0"/>
        <w:keepLines w:val="0"/>
        <w:widowControl w:val="0"/>
        <w:shd w:val="clear" w:color="auto" w:fill="auto"/>
        <w:bidi w:val="0"/>
        <w:spacing w:before="0" w:after="0" w:line="240" w:lineRule="auto"/>
        <w:ind w:left="0" w:right="0" w:firstLine="680"/>
        <w:jc w:val="both"/>
      </w:pPr>
      <w:r>
        <w:rPr>
          <w:rStyle w:val="CharStyle7"/>
        </w:rPr>
        <w:t>Специалиста-эксперта отдела обжалования государственных закупок А.И. Рахматуллаева,</w:t>
      </w:r>
    </w:p>
    <w:p>
      <w:pPr>
        <w:pStyle w:val="Style6"/>
        <w:keepNext w:val="0"/>
        <w:keepLines w:val="0"/>
        <w:widowControl w:val="0"/>
        <w:shd w:val="clear" w:color="auto" w:fill="auto"/>
        <w:bidi w:val="0"/>
        <w:spacing w:before="0" w:after="0" w:line="240" w:lineRule="auto"/>
        <w:ind w:left="0" w:right="0" w:firstLine="68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62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Московско-Окское БВУ: Д.Г. Корнеева (по дов.№ИСХ-6482 от </w:t>
      </w:r>
      <w:r>
        <w:rPr>
          <w:rStyle w:val="CharStyle7"/>
          <w:lang w:val="en-US" w:eastAsia="en-US"/>
        </w:rPr>
        <w:t>27.08.2025),</w:t>
      </w:r>
    </w:p>
    <w:p>
      <w:pPr>
        <w:pStyle w:val="Style6"/>
        <w:keepNext w:val="0"/>
        <w:keepLines w:val="0"/>
        <w:widowControl w:val="0"/>
        <w:shd w:val="clear" w:color="auto" w:fill="auto"/>
        <w:bidi w:val="0"/>
        <w:spacing w:before="0" w:after="0" w:line="240" w:lineRule="auto"/>
        <w:ind w:left="0" w:right="0" w:firstLine="680"/>
        <w:jc w:val="both"/>
      </w:pPr>
      <w:r>
        <w:drawing>
          <wp:anchor distT="177800" distB="0" distL="114300" distR="114300" simplePos="0" relativeHeight="125829381" behindDoc="0" locked="0" layoutInCell="1" allowOverlap="1">
            <wp:simplePos x="0" y="0"/>
            <wp:positionH relativeFrom="page">
              <wp:posOffset>715645</wp:posOffset>
            </wp:positionH>
            <wp:positionV relativeFrom="margin">
              <wp:posOffset>9089390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 xml:space="preserve">ООО «ТД «Политон-Тех»: А.И. Шлычковой (по дов.№1 от </w:t>
      </w:r>
      <w:r>
        <w:rPr>
          <w:rStyle w:val="CharStyle7"/>
          <w:lang w:val="en-US" w:eastAsia="en-US"/>
        </w:rPr>
        <w:t xml:space="preserve">27.08.2025), </w:t>
      </w:r>
      <w:r>
        <w:rPr>
          <w:rStyle w:val="CharStyle7"/>
        </w:rPr>
        <w:t xml:space="preserve">рассмотрев жалобу ООО «ТД «Политон-Тех» (далее </w:t>
      </w:r>
      <w:r>
        <w:rPr>
          <w:rStyle w:val="CharStyle7"/>
          <w:lang w:val="en-US" w:eastAsia="en-US"/>
        </w:rPr>
        <w:t xml:space="preserve">— </w:t>
      </w:r>
      <w:r>
        <w:rPr>
          <w:rStyle w:val="CharStyle7"/>
        </w:rPr>
        <w:t xml:space="preserve">Заявитель) на действия Московско-Окское БВУ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расходных материалов для печатающих устройств (картриджи) (Закупка </w:t>
      </w:r>
      <w:r>
        <w:rPr>
          <w:rStyle w:val="CharStyle7"/>
          <w:lang w:val="en-US" w:eastAsia="en-US"/>
        </w:rPr>
        <w:t xml:space="preserve">№0373100102025000034) </w:t>
      </w:r>
      <w:r>
        <w:rPr>
          <w:rStyle w:val="CharStyle7"/>
        </w:rPr>
        <w:t xml:space="preserve">(далее </w:t>
      </w:r>
      <w:r>
        <w:rPr>
          <w:rStyle w:val="CharStyle7"/>
          <w:lang w:val="en-US" w:eastAsia="en-US"/>
        </w:rPr>
        <w:t xml:space="preserve">– </w:t>
      </w:r>
      <w:r>
        <w:rPr>
          <w:rStyle w:val="CharStyle7"/>
        </w:rPr>
        <w:t xml:space="preserve">аукцион)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6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Заявитель обжалует действия Заказчика, выразившиеся закупке оригинальных расходных материалов (картриджей) без возможности поставки эквивалентной продукции, что делает невозможным применение защитных мер национального режима.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w:t>
      </w:r>
      <w:r>
        <w:rPr>
          <w:rStyle w:val="CharStyle7"/>
          <w:lang w:val="en-US" w:eastAsia="en-US"/>
        </w:rPr>
        <w:t xml:space="preserve">33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1"/>
        </w:numPr>
        <w:shd w:val="clear" w:color="auto" w:fill="auto"/>
        <w:tabs>
          <w:tab w:pos="1064"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1"/>
        </w:numPr>
        <w:shd w:val="clear" w:color="auto" w:fill="auto"/>
        <w:tabs>
          <w:tab w:pos="1064"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1"/>
        </w:numPr>
        <w:shd w:val="clear" w:color="auto" w:fill="auto"/>
        <w:tabs>
          <w:tab w:pos="1060"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1"/>
        </w:numPr>
        <w:shd w:val="clear" w:color="auto" w:fill="auto"/>
        <w:tabs>
          <w:tab w:pos="1186" w:val="left"/>
        </w:tabs>
        <w:bidi w:val="0"/>
        <w:spacing w:before="0" w:after="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62" w:right="535" w:bottom="1248" w:left="1103" w:header="0" w:footer="3" w:gutter="0"/>
          <w:pgNumType w:start="1"/>
          <w:cols w:space="720"/>
          <w:noEndnote/>
          <w:titlePg/>
          <w:rtlGutter w:val="0"/>
          <w:docGrid w:linePitch="360"/>
        </w:sectPr>
      </w:pPr>
      <w:r>
        <w:rPr>
          <w:rStyle w:val="CharStyle7"/>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w:t>
      </w:r>
    </w:p>
    <w:p>
      <w:pPr>
        <w:pStyle w:val="Style6"/>
        <w:keepNext w:val="0"/>
        <w:keepLines w:val="0"/>
        <w:widowControl w:val="0"/>
        <w:shd w:val="clear" w:color="auto" w:fill="auto"/>
        <w:bidi w:val="0"/>
        <w:spacing w:before="0" w:after="0"/>
        <w:ind w:left="0" w:right="0" w:firstLine="0"/>
        <w:jc w:val="both"/>
      </w:pPr>
      <w:r>
        <w:rPr>
          <w:rStyle w:val="CharStyle7"/>
        </w:rPr>
        <w:t>(или) значения показателей, которые не могут изменяться.</w:t>
      </w:r>
    </w:p>
    <w:p>
      <w:pPr>
        <w:pStyle w:val="Style6"/>
        <w:keepNext w:val="0"/>
        <w:keepLines w:val="0"/>
        <w:widowControl w:val="0"/>
        <w:shd w:val="clear" w:color="auto" w:fill="auto"/>
        <w:bidi w:val="0"/>
        <w:spacing w:before="0" w:after="0"/>
        <w:ind w:left="0" w:right="0" w:firstLine="700"/>
        <w:jc w:val="both"/>
      </w:pPr>
      <w:r>
        <w:rPr>
          <w:rStyle w:val="CharStyle7"/>
        </w:rPr>
        <w:t>Комиссией Управления установлено, что согласно описанию объектов закупки Заказчиком установлены следующие требования к следующим закупаемым расходным материалам:</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11. </w:t>
      </w:r>
      <w:r>
        <w:rPr>
          <w:rStyle w:val="CharStyle7"/>
        </w:rPr>
        <w:t xml:space="preserve">Идентификатор: </w:t>
      </w:r>
      <w:r>
        <w:rPr>
          <w:rStyle w:val="CharStyle7"/>
          <w:lang w:val="en-US" w:eastAsia="en-US"/>
        </w:rPr>
        <w:t xml:space="preserve">180450370.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SHARP MX-2630»;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19. </w:t>
      </w:r>
      <w:r>
        <w:rPr>
          <w:rStyle w:val="CharStyle7"/>
        </w:rPr>
        <w:t xml:space="preserve">Идентификатор: </w:t>
      </w:r>
      <w:r>
        <w:rPr>
          <w:rStyle w:val="CharStyle7"/>
          <w:lang w:val="en-US" w:eastAsia="en-US"/>
        </w:rPr>
        <w:t xml:space="preserve">180514984.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Xerox C310, C315»;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20. </w:t>
      </w:r>
      <w:r>
        <w:rPr>
          <w:rStyle w:val="CharStyle7"/>
        </w:rPr>
        <w:t xml:space="preserve">Идентификатор: </w:t>
      </w:r>
      <w:r>
        <w:rPr>
          <w:rStyle w:val="CharStyle7"/>
          <w:lang w:val="en-US" w:eastAsia="en-US"/>
        </w:rPr>
        <w:t xml:space="preserve">180514995.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Xerox C310, C315»;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21. </w:t>
      </w:r>
      <w:r>
        <w:rPr>
          <w:rStyle w:val="CharStyle7"/>
        </w:rPr>
        <w:t xml:space="preserve">Идентификатор: </w:t>
      </w:r>
      <w:r>
        <w:rPr>
          <w:rStyle w:val="CharStyle7"/>
          <w:lang w:val="en-US" w:eastAsia="en-US"/>
        </w:rPr>
        <w:t xml:space="preserve">180515009.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Xerox C310, C315»;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8. </w:t>
      </w:r>
      <w:r>
        <w:rPr>
          <w:rStyle w:val="CharStyle7"/>
        </w:rPr>
        <w:t xml:space="preserve">Идентификатор: </w:t>
      </w:r>
      <w:r>
        <w:rPr>
          <w:rStyle w:val="CharStyle7"/>
          <w:lang w:val="en-US" w:eastAsia="en-US"/>
        </w:rPr>
        <w:t xml:space="preserve">180522019.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Kyocera Mita Ecosys M5521cdn, M5521cdw, P5021cdn, P5021cdw»;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9. </w:t>
      </w:r>
      <w:r>
        <w:rPr>
          <w:rStyle w:val="CharStyle7"/>
        </w:rPr>
        <w:t xml:space="preserve">Идентификатор: </w:t>
      </w:r>
      <w:r>
        <w:rPr>
          <w:rStyle w:val="CharStyle7"/>
          <w:lang w:val="en-US" w:eastAsia="en-US"/>
        </w:rPr>
        <w:t xml:space="preserve">180522020.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Kyocera Mita Ecosys M5521cdn, M5521cdw, P5021cdn, P5021cdw»;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10. </w:t>
      </w:r>
      <w:r>
        <w:rPr>
          <w:rStyle w:val="CharStyle7"/>
        </w:rPr>
        <w:t xml:space="preserve">Идентификатор: </w:t>
      </w:r>
      <w:r>
        <w:rPr>
          <w:rStyle w:val="CharStyle7"/>
          <w:lang w:val="en-US" w:eastAsia="en-US"/>
        </w:rPr>
        <w:t xml:space="preserve">180522021.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Kyocera Mita Ecosys M5521cdn, M5521cdw, P5021cdn, P5021cdw»;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2. </w:t>
      </w:r>
      <w:r>
        <w:rPr>
          <w:rStyle w:val="CharStyle7"/>
        </w:rPr>
        <w:t xml:space="preserve">Идентификатор: </w:t>
      </w:r>
      <w:r>
        <w:rPr>
          <w:rStyle w:val="CharStyle7"/>
          <w:lang w:val="en-US" w:eastAsia="en-US"/>
        </w:rPr>
        <w:t xml:space="preserve">180522022.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Kyocera ECOSYS P2040dn, Kyocera ECOSYS P2040dw»;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3. </w:t>
      </w:r>
      <w:r>
        <w:rPr>
          <w:rStyle w:val="CharStyle7"/>
        </w:rPr>
        <w:t xml:space="preserve">Идентификатор: </w:t>
      </w:r>
      <w:r>
        <w:rPr>
          <w:rStyle w:val="CharStyle7"/>
          <w:lang w:val="en-US" w:eastAsia="en-US"/>
        </w:rPr>
        <w:t xml:space="preserve">180522023.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Kyocera Mita Ecosys M6230cidn, M6630cidn, P6230cdn»;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1. </w:t>
      </w:r>
      <w:r>
        <w:rPr>
          <w:rStyle w:val="CharStyle7"/>
        </w:rPr>
        <w:t xml:space="preserve">Идентификатор: </w:t>
      </w:r>
      <w:r>
        <w:rPr>
          <w:rStyle w:val="CharStyle7"/>
          <w:lang w:val="en-US" w:eastAsia="en-US"/>
        </w:rPr>
        <w:t xml:space="preserve">180522024.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Kyocera Mita Ecosys M2040dn, M2540dn, M2540dw, M2640idw»;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12. </w:t>
      </w:r>
      <w:r>
        <w:rPr>
          <w:rStyle w:val="CharStyle7"/>
        </w:rPr>
        <w:t xml:space="preserve">Идентификатор: </w:t>
      </w:r>
      <w:r>
        <w:rPr>
          <w:rStyle w:val="CharStyle7"/>
          <w:lang w:val="en-US" w:eastAsia="en-US"/>
        </w:rPr>
        <w:t xml:space="preserve">180504476.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SHARP MX-2630»;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15. </w:t>
      </w:r>
      <w:r>
        <w:rPr>
          <w:rStyle w:val="CharStyle7"/>
        </w:rPr>
        <w:t xml:space="preserve">Идентификатор: </w:t>
      </w:r>
      <w:r>
        <w:rPr>
          <w:rStyle w:val="CharStyle7"/>
          <w:lang w:val="en-US" w:eastAsia="en-US"/>
        </w:rPr>
        <w:t xml:space="preserve">180506909.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HPLaserJet M1132MFPPro, HPLaserJet M1212 MFP Pro, HP LaserJet M1212nf MFP Pro»; </w:t>
      </w:r>
      <w:r>
        <w:rPr>
          <w:rStyle w:val="CharStyle7"/>
        </w:rPr>
        <w:t>«Подлинность: Оригинальный Совместимый»;</w:t>
      </w:r>
    </w:p>
    <w:p>
      <w:pPr>
        <w:pStyle w:val="Style6"/>
        <w:keepNext w:val="0"/>
        <w:keepLines w:val="0"/>
        <w:widowControl w:val="0"/>
        <w:shd w:val="clear" w:color="auto" w:fill="auto"/>
        <w:bidi w:val="0"/>
        <w:spacing w:before="0" w:after="0" w:line="290" w:lineRule="auto"/>
        <w:ind w:left="0" w:right="0" w:firstLine="700"/>
        <w:jc w:val="both"/>
        <w:rPr>
          <w:sz w:val="24"/>
          <w:szCs w:val="24"/>
        </w:rPr>
      </w:pPr>
      <w:r>
        <w:rPr>
          <w:rStyle w:val="CharStyle7"/>
        </w:rPr>
        <w:t xml:space="preserve">по п. «Картридж тип </w:t>
      </w:r>
      <w:r>
        <w:rPr>
          <w:rStyle w:val="CharStyle7"/>
          <w:lang w:val="en-US" w:eastAsia="en-US"/>
        </w:rPr>
        <w:t xml:space="preserve">16. </w:t>
      </w:r>
      <w:r>
        <w:rPr>
          <w:rStyle w:val="CharStyle7"/>
        </w:rPr>
        <w:t xml:space="preserve">Идентификатор: </w:t>
      </w:r>
      <w:r>
        <w:rPr>
          <w:rStyle w:val="CharStyle7"/>
          <w:lang w:val="en-US" w:eastAsia="en-US"/>
        </w:rPr>
        <w:t xml:space="preserve">180506910.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HPLaserJet 1010, HPLaserJet 1012, HPLaserJet </w:t>
      </w:r>
      <w:r>
        <w:rPr>
          <w:rStyle w:val="CharStyle7"/>
          <w:sz w:val="24"/>
          <w:szCs w:val="24"/>
          <w:lang w:val="en-US" w:eastAsia="en-US"/>
        </w:rPr>
        <w:t>2025-39857</w:t>
      </w:r>
    </w:p>
    <w:p>
      <w:pPr>
        <w:pStyle w:val="Style6"/>
        <w:keepNext w:val="0"/>
        <w:keepLines w:val="0"/>
        <w:widowControl w:val="0"/>
        <w:shd w:val="clear" w:color="auto" w:fill="auto"/>
        <w:bidi w:val="0"/>
        <w:spacing w:before="0" w:after="0"/>
        <w:ind w:left="0" w:right="0" w:firstLine="0"/>
        <w:jc w:val="both"/>
      </w:pPr>
      <w:r>
        <w:rPr>
          <w:rStyle w:val="CharStyle7"/>
          <w:lang w:val="en-US" w:eastAsia="en-US"/>
        </w:rPr>
        <w:t xml:space="preserve">1015, HP LaserJet 1020, HP LaserJet 1018, HP LaserJet 3050z, HP LaserJet 3055, HP LaserJet 1022n, HP LaserJet 1022nw, HP LaserJet M1319f, HP LaserJet M1005, HP LaserJet M1300, HP LaserJet 3020, HP LaserJet 3030, HP LaserJet 3052, HP LaserJet 1020+»; </w:t>
      </w:r>
      <w:r>
        <w:rPr>
          <w:rStyle w:val="CharStyle7"/>
        </w:rPr>
        <w:t>«Подлинность: Оригинальный; Совместимый»;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17. </w:t>
      </w:r>
      <w:r>
        <w:rPr>
          <w:rStyle w:val="CharStyle7"/>
        </w:rPr>
        <w:t xml:space="preserve">Идентификатор: </w:t>
      </w:r>
      <w:r>
        <w:rPr>
          <w:rStyle w:val="CharStyle7"/>
          <w:lang w:val="en-US" w:eastAsia="en-US"/>
        </w:rPr>
        <w:t xml:space="preserve">180506911.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HP LaserJet P2035, HP LaserJet P2055, HP LaserJet P2055dn»; </w:t>
      </w:r>
      <w:r>
        <w:rPr>
          <w:rStyle w:val="CharStyle7"/>
        </w:rPr>
        <w:t>«Подлинность: Оригинальный; Совместимый»;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18. </w:t>
      </w:r>
      <w:r>
        <w:rPr>
          <w:rStyle w:val="CharStyle7"/>
        </w:rPr>
        <w:t xml:space="preserve">Идентификатор: </w:t>
      </w:r>
      <w:r>
        <w:rPr>
          <w:rStyle w:val="CharStyle7"/>
          <w:lang w:val="en-US" w:eastAsia="en-US"/>
        </w:rPr>
        <w:t xml:space="preserve">180506912.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Xerox C310, C315»;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4. </w:t>
      </w:r>
      <w:r>
        <w:rPr>
          <w:rStyle w:val="CharStyle7"/>
        </w:rPr>
        <w:t xml:space="preserve">Идентификатор: </w:t>
      </w:r>
      <w:r>
        <w:rPr>
          <w:rStyle w:val="CharStyle7"/>
          <w:lang w:val="en-US" w:eastAsia="en-US"/>
        </w:rPr>
        <w:t xml:space="preserve">180520777.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Kyocera Mita Ecosys M6230cidn, M6630cidn, P6230cdn»;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13. </w:t>
      </w:r>
      <w:r>
        <w:rPr>
          <w:rStyle w:val="CharStyle7"/>
        </w:rPr>
        <w:t xml:space="preserve">Идентификатор: </w:t>
      </w:r>
      <w:r>
        <w:rPr>
          <w:rStyle w:val="CharStyle7"/>
          <w:lang w:val="en-US" w:eastAsia="en-US"/>
        </w:rPr>
        <w:t xml:space="preserve">180505603.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SHARP MX-2630»;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14. </w:t>
      </w:r>
      <w:r>
        <w:rPr>
          <w:rStyle w:val="CharStyle7"/>
        </w:rPr>
        <w:t xml:space="preserve">Идентификатор: </w:t>
      </w:r>
      <w:r>
        <w:rPr>
          <w:rStyle w:val="CharStyle7"/>
          <w:lang w:val="en-US" w:eastAsia="en-US"/>
        </w:rPr>
        <w:t xml:space="preserve">180505604.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Kyocera TASKalfa 300i»; </w:t>
      </w:r>
      <w:r>
        <w:rPr>
          <w:rStyle w:val="CharStyle7"/>
        </w:rPr>
        <w:t>«Подлинность: Оригинальный; Совместимый»;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5. </w:t>
      </w:r>
      <w:r>
        <w:rPr>
          <w:rStyle w:val="CharStyle7"/>
        </w:rPr>
        <w:t xml:space="preserve">Идентификатор: </w:t>
      </w:r>
      <w:r>
        <w:rPr>
          <w:rStyle w:val="CharStyle7"/>
          <w:lang w:val="en-US" w:eastAsia="en-US"/>
        </w:rPr>
        <w:t xml:space="preserve">180521206.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Kyocera Mita Ecosys M6230cidn, M6630cidn, P6230cdn»;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6. </w:t>
      </w:r>
      <w:r>
        <w:rPr>
          <w:rStyle w:val="CharStyle7"/>
        </w:rPr>
        <w:t xml:space="preserve">Идентификатор: </w:t>
      </w:r>
      <w:r>
        <w:rPr>
          <w:rStyle w:val="CharStyle7"/>
          <w:lang w:val="en-US" w:eastAsia="en-US"/>
        </w:rPr>
        <w:t xml:space="preserve">180521207.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Kyocera Mita Ecosys M6230cidn, M6630cidn, P6230cdn»;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 xml:space="preserve">по п. «Картридж тип </w:t>
      </w:r>
      <w:r>
        <w:rPr>
          <w:rStyle w:val="CharStyle7"/>
          <w:lang w:val="en-US" w:eastAsia="en-US"/>
        </w:rPr>
        <w:t xml:space="preserve">7. </w:t>
      </w:r>
      <w:r>
        <w:rPr>
          <w:rStyle w:val="CharStyle7"/>
        </w:rPr>
        <w:t xml:space="preserve">Идентификатор: </w:t>
      </w:r>
      <w:r>
        <w:rPr>
          <w:rStyle w:val="CharStyle7"/>
          <w:lang w:val="en-US" w:eastAsia="en-US"/>
        </w:rPr>
        <w:t xml:space="preserve">180521208. </w:t>
      </w:r>
      <w:r>
        <w:rPr>
          <w:rStyle w:val="CharStyle7"/>
        </w:rPr>
        <w:t xml:space="preserve">ОКПД2 </w:t>
      </w:r>
      <w:r>
        <w:rPr>
          <w:rStyle w:val="CharStyle7"/>
          <w:lang w:val="en-US" w:eastAsia="en-US"/>
        </w:rPr>
        <w:t xml:space="preserve">26.20.40.120»: </w:t>
      </w:r>
      <w:r>
        <w:rPr>
          <w:rStyle w:val="CharStyle7"/>
        </w:rPr>
        <w:t xml:space="preserve">«Поддерживаемые модели принтеров: </w:t>
      </w:r>
      <w:r>
        <w:rPr>
          <w:rStyle w:val="CharStyle7"/>
          <w:lang w:val="en-US" w:eastAsia="en-US"/>
        </w:rPr>
        <w:t xml:space="preserve">Kyocera Mita Ecosys M5521cdn, M5521cdw, P5021cdn, P5021cdw»; </w:t>
      </w:r>
      <w:r>
        <w:rPr>
          <w:rStyle w:val="CharStyle7"/>
        </w:rPr>
        <w:t>«Подлинность: Оригинальный».</w:t>
      </w:r>
    </w:p>
    <w:p>
      <w:pPr>
        <w:pStyle w:val="Style6"/>
        <w:keepNext w:val="0"/>
        <w:keepLines w:val="0"/>
        <w:widowControl w:val="0"/>
        <w:shd w:val="clear" w:color="auto" w:fill="auto"/>
        <w:bidi w:val="0"/>
        <w:spacing w:before="0" w:after="0"/>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ind w:left="0" w:right="0" w:firstLine="700"/>
        <w:jc w:val="both"/>
      </w:pPr>
      <w:r>
        <w:rPr>
          <w:rStyle w:val="CharStyle7"/>
        </w:rPr>
        <w:t xml:space="preserve">На заседании Комиссии Управления представитель Заказчика пояснил, что в рамках обжалуемой закупки Заказчиком закупаются расходные материалы к многофункциональным устройствам с товарными знаками </w:t>
      </w:r>
      <w:r>
        <w:rPr>
          <w:rStyle w:val="CharStyle7"/>
          <w:lang w:val="en-US" w:eastAsia="en-US"/>
        </w:rPr>
        <w:t xml:space="preserve">«Kyocera», «Xerox», «HP (Hewlett-Packard)», «SHARP», </w:t>
      </w:r>
      <w:r>
        <w:rPr>
          <w:rStyle w:val="CharStyle7"/>
        </w:rPr>
        <w:t>при этом указанные устройства находятся на гарантии в том числе производителем оборудования, ввиду чего, для исполнения гарантийных обязательств Заказчику необходимо использовать исключительно оригинальные расходные материалы, что не противоречит положениям пп. «в» п.1 ч.1 ст.33 Закона о контрактной системе.</w:t>
      </w:r>
    </w:p>
    <w:p>
      <w:pPr>
        <w:pStyle w:val="Style6"/>
        <w:keepNext w:val="0"/>
        <w:keepLines w:val="0"/>
        <w:widowControl w:val="0"/>
        <w:shd w:val="clear" w:color="auto" w:fill="auto"/>
        <w:bidi w:val="0"/>
        <w:spacing w:before="0" w:after="0" w:line="276"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40" w:bottom="658" w:left="1103" w:header="0" w:footer="230" w:gutter="0"/>
          <w:cols w:space="720"/>
          <w:noEndnote/>
          <w:rtlGutter w:val="0"/>
          <w:docGrid w:linePitch="360"/>
        </w:sectPr>
      </w:pPr>
      <w:r>
        <w:rPr>
          <w:rStyle w:val="CharStyle7"/>
        </w:rPr>
        <w:t xml:space="preserve">В обоснование своей позиции представитель Заказчика приложил, руководства пользователя к многофункциональным устройствам </w:t>
      </w:r>
      <w:r>
        <w:rPr>
          <w:rStyle w:val="CharStyle7"/>
          <w:lang w:val="en-US" w:eastAsia="en-US"/>
        </w:rPr>
        <w:t xml:space="preserve">«Kyocera», «Xerox», </w:t>
      </w:r>
      <w:r>
        <w:rPr>
          <w:rStyle w:val="CharStyle7"/>
        </w:rPr>
        <w:t xml:space="preserve">а также информационное письмо от производителя </w:t>
      </w:r>
      <w:r>
        <w:rPr>
          <w:rStyle w:val="CharStyle7"/>
          <w:lang w:val="en-US" w:eastAsia="en-US"/>
        </w:rPr>
        <w:t xml:space="preserve">«Xerox» </w:t>
      </w:r>
      <w:r>
        <w:rPr>
          <w:rStyle w:val="CharStyle7"/>
        </w:rPr>
        <w:t xml:space="preserve">исх.№ </w:t>
      </w:r>
      <w:r>
        <w:rPr>
          <w:rStyle w:val="CharStyle7"/>
          <w:lang w:val="en-US" w:eastAsia="en-US"/>
        </w:rPr>
        <w:t xml:space="preserve">2022-053 </w:t>
      </w:r>
      <w:r>
        <w:rPr>
          <w:rStyle w:val="CharStyle7"/>
        </w:rPr>
        <w:t xml:space="preserve">от </w:t>
      </w:r>
      <w:r>
        <w:rPr>
          <w:rStyle w:val="CharStyle7"/>
          <w:lang w:val="en-US" w:eastAsia="en-US"/>
        </w:rPr>
        <w:t xml:space="preserve">05.03.2022. </w:t>
      </w:r>
      <w:r>
        <w:rPr>
          <w:rStyle w:val="CharStyle7"/>
          <w:sz w:val="24"/>
          <w:szCs w:val="24"/>
          <w:lang w:val="en-US" w:eastAsia="en-US"/>
        </w:rPr>
        <w:t>2025-39857</w:t>
      </w:r>
    </w:p>
    <w:p>
      <w:pPr>
        <w:pStyle w:val="Style6"/>
        <w:keepNext w:val="0"/>
        <w:keepLines w:val="0"/>
        <w:widowControl w:val="0"/>
        <w:shd w:val="clear" w:color="auto" w:fill="auto"/>
        <w:bidi w:val="0"/>
        <w:spacing w:before="0" w:after="0"/>
        <w:ind w:left="0" w:right="0" w:firstLine="700"/>
        <w:jc w:val="both"/>
      </w:pPr>
      <w:r>
        <w:rPr>
          <w:rStyle w:val="CharStyle7"/>
        </w:rPr>
        <w:t xml:space="preserve">Комиссия Управления считает необходимы отметить, что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7"/>
          <w:lang w:val="en-US" w:eastAsia="en-US"/>
        </w:rPr>
        <w:t xml:space="preserve">- </w:t>
      </w:r>
      <w:r>
        <w:rPr>
          <w:rStyle w:val="CharStyle7"/>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6"/>
        <w:keepNext w:val="0"/>
        <w:keepLines w:val="0"/>
        <w:widowControl w:val="0"/>
        <w:shd w:val="clear" w:color="auto" w:fill="auto"/>
        <w:bidi w:val="0"/>
        <w:spacing w:before="0" w:after="0"/>
        <w:ind w:left="0" w:right="0" w:firstLine="700"/>
        <w:jc w:val="both"/>
      </w:pPr>
      <w:r>
        <w:rPr>
          <w:rStyle w:val="CharStyle7"/>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w:t>
      </w:r>
    </w:p>
    <w:p>
      <w:pPr>
        <w:pStyle w:val="Style6"/>
        <w:keepNext w:val="0"/>
        <w:keepLines w:val="0"/>
        <w:widowControl w:val="0"/>
        <w:shd w:val="clear" w:color="auto" w:fill="auto"/>
        <w:bidi w:val="0"/>
        <w:spacing w:before="0" w:after="0"/>
        <w:ind w:left="0" w:right="0" w:firstLine="700"/>
        <w:jc w:val="both"/>
      </w:pPr>
      <w:r>
        <w:rPr>
          <w:rStyle w:val="CharStyle7"/>
        </w:rPr>
        <w:t xml:space="preserve">Вместе с тем, каких-либо положений регламентирующих, что использование не оригинальных расходных материалов к МФУ </w:t>
      </w:r>
      <w:r>
        <w:rPr>
          <w:rStyle w:val="CharStyle7"/>
          <w:lang w:val="en-US" w:eastAsia="en-US"/>
        </w:rPr>
        <w:t xml:space="preserve">«Kyocera», «Xerox», «HP (Hewlett- Packard)», «SHARP» </w:t>
      </w:r>
      <w:r>
        <w:rPr>
          <w:rStyle w:val="CharStyle7"/>
        </w:rPr>
        <w:t>повлечет за собой снятие гарантийных обязательств и невозможность ремонта оборудования Заказчиком не указано, Комиссией Управления не установлено.</w:t>
      </w:r>
    </w:p>
    <w:p>
      <w:pPr>
        <w:pStyle w:val="Style6"/>
        <w:keepNext w:val="0"/>
        <w:keepLines w:val="0"/>
        <w:widowControl w:val="0"/>
        <w:shd w:val="clear" w:color="auto" w:fill="auto"/>
        <w:bidi w:val="0"/>
        <w:spacing w:before="0" w:after="0"/>
        <w:ind w:left="0" w:right="0" w:firstLine="700"/>
        <w:jc w:val="both"/>
      </w:pPr>
      <w:r>
        <w:rPr>
          <w:rStyle w:val="CharStyle7"/>
        </w:rPr>
        <w:t xml:space="preserve">Так, на заседании Комиссии Управления представителем Заказчика не представлено каких-либо документов, указывающих на необходимость использования Заказчиком исключительно оригинальных картриджей при эксплуатации имеющегося у Заказчика оборудования </w:t>
      </w:r>
      <w:r>
        <w:rPr>
          <w:rStyle w:val="CharStyle7"/>
          <w:lang w:val="en-US" w:eastAsia="en-US"/>
        </w:rPr>
        <w:t>«Kyocera», «Xerox», «HP (Hewlett-Packard)», «SHARP».</w:t>
      </w:r>
    </w:p>
    <w:p>
      <w:pPr>
        <w:pStyle w:val="Style6"/>
        <w:keepNext w:val="0"/>
        <w:keepLines w:val="0"/>
        <w:widowControl w:val="0"/>
        <w:shd w:val="clear" w:color="auto" w:fill="auto"/>
        <w:bidi w:val="0"/>
        <w:spacing w:before="0" w:after="0"/>
        <w:ind w:left="0" w:right="0" w:firstLine="700"/>
        <w:jc w:val="both"/>
      </w:pPr>
      <w:r>
        <w:rPr>
          <w:rStyle w:val="CharStyle7"/>
        </w:rPr>
        <w:t>В том числе не представлено сведений, указывающих на то, что оборудования Заказчика находится на гарантийном обслуживании производителя или поставщика и условия такого обслуживания, что не позволяет Комиссии Управления прийти к выводу о том, что в данном случае Заказчик обязан использовать исключительно оригинальные картриджи в целях сохранения гарантии.</w:t>
      </w:r>
    </w:p>
    <w:p>
      <w:pPr>
        <w:pStyle w:val="Style6"/>
        <w:keepNext w:val="0"/>
        <w:keepLines w:val="0"/>
        <w:widowControl w:val="0"/>
        <w:shd w:val="clear" w:color="auto" w:fill="auto"/>
        <w:bidi w:val="0"/>
        <w:spacing w:before="0" w:after="0"/>
        <w:ind w:left="0" w:right="0" w:firstLine="700"/>
        <w:jc w:val="both"/>
      </w:pPr>
      <w:r>
        <w:rPr>
          <w:rStyle w:val="CharStyle7"/>
        </w:rPr>
        <w:t xml:space="preserve">Комиссия Управления отмечает, что ст.33 Закона о контрактной систем содержит в себе закрытый перечень случаев, когда Заказчик в праве закупать товары конкретного производителя, вместе с тем, в рамках рассмотрения данной жалобы Заказчиком не представлено документов и сведений, подтверждающих, что в данном случае применимы исключения отраженные в п.1 ч.1 ст.33 Закона о контрактной системе для расходных материалов к МФУ </w:t>
      </w:r>
      <w:r>
        <w:rPr>
          <w:rStyle w:val="CharStyle7"/>
          <w:lang w:val="en-US" w:eastAsia="en-US"/>
        </w:rPr>
        <w:t>«Kyocera», «Xerox», «HP (Hewlett-Packard)», «SHARP».</w:t>
      </w:r>
    </w:p>
    <w:p>
      <w:pPr>
        <w:pStyle w:val="Style6"/>
        <w:keepNext w:val="0"/>
        <w:keepLines w:val="0"/>
        <w:widowControl w:val="0"/>
        <w:shd w:val="clear" w:color="auto" w:fill="auto"/>
        <w:bidi w:val="0"/>
        <w:spacing w:before="0" w:after="0"/>
        <w:ind w:left="0" w:right="0" w:firstLine="700"/>
        <w:jc w:val="both"/>
      </w:pPr>
      <w:r>
        <w:rPr>
          <w:rStyle w:val="CharStyle7"/>
        </w:rPr>
        <w:t xml:space="preserve">На основе вышеизложенного, Комиссия Управления приходит к выводу о нарушении Заказчиком положений п.1 ч.1 ст.33 Закона о контрактной системе при формировании описания объекта закупки расходных материалов к МФУ </w:t>
      </w:r>
      <w:r>
        <w:rPr>
          <w:rStyle w:val="CharStyle7"/>
          <w:lang w:val="en-US" w:eastAsia="en-US"/>
        </w:rPr>
        <w:t xml:space="preserve">«Kyocera», «Xerox», «HP (Hewlett-Packard)», «SHARP», </w:t>
      </w:r>
      <w:r>
        <w:rPr>
          <w:rStyle w:val="CharStyle7"/>
        </w:rPr>
        <w:t>что содержит признаки состава административного правонарушения, ответственность за которое предусмотрена ч.6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ind w:left="0" w:right="0" w:firstLine="700"/>
        <w:jc w:val="both"/>
      </w:pPr>
      <w:r>
        <w:rPr>
          <w:rStyle w:val="CharStyle7"/>
        </w:rPr>
        <w:t>Исследовав представленные материалы, Законом о контрактной системе, Комиссия Управления</w:t>
      </w:r>
      <w:r>
        <w:br w:type="page"/>
      </w:r>
    </w:p>
    <w:p>
      <w:pPr>
        <w:pStyle w:val="Style6"/>
        <w:keepNext w:val="0"/>
        <w:keepLines w:val="0"/>
        <w:widowControl w:val="0"/>
        <w:shd w:val="clear" w:color="auto" w:fill="auto"/>
        <w:bidi w:val="0"/>
        <w:spacing w:before="0" w:after="300"/>
        <w:ind w:left="0" w:right="0" w:firstLine="0"/>
        <w:jc w:val="center"/>
      </w:pPr>
      <w:r>
        <w:rPr>
          <w:rStyle w:val="CharStyle7"/>
          <w:b/>
          <w:bCs/>
        </w:rPr>
        <w:t>РЕШИЛА:</w:t>
      </w:r>
    </w:p>
    <w:p>
      <w:pPr>
        <w:pStyle w:val="Style6"/>
        <w:keepNext w:val="0"/>
        <w:keepLines w:val="0"/>
        <w:widowControl w:val="0"/>
        <w:numPr>
          <w:ilvl w:val="0"/>
          <w:numId w:val="3"/>
        </w:numPr>
        <w:shd w:val="clear" w:color="auto" w:fill="auto"/>
        <w:tabs>
          <w:tab w:pos="1416" w:val="left"/>
        </w:tabs>
        <w:bidi w:val="0"/>
        <w:spacing w:before="0" w:after="0"/>
        <w:ind w:left="0" w:right="0" w:firstLine="700"/>
        <w:jc w:val="both"/>
      </w:pPr>
      <w:r>
        <w:rPr>
          <w:rStyle w:val="CharStyle7"/>
        </w:rPr>
        <w:t>Признать жалобу ООО «ТД «Политон-Тех» на действия Московско-Окское БВУ обоснованной.</w:t>
      </w:r>
    </w:p>
    <w:p>
      <w:pPr>
        <w:pStyle w:val="Style6"/>
        <w:keepNext w:val="0"/>
        <w:keepLines w:val="0"/>
        <w:widowControl w:val="0"/>
        <w:numPr>
          <w:ilvl w:val="0"/>
          <w:numId w:val="3"/>
        </w:numPr>
        <w:shd w:val="clear" w:color="auto" w:fill="auto"/>
        <w:tabs>
          <w:tab w:pos="1416" w:val="left"/>
        </w:tabs>
        <w:bidi w:val="0"/>
        <w:spacing w:before="0" w:after="0"/>
        <w:ind w:left="0" w:right="0" w:firstLine="700"/>
        <w:jc w:val="both"/>
      </w:pPr>
      <w:r>
        <w:rPr>
          <w:rStyle w:val="CharStyle7"/>
        </w:rPr>
        <w:t>Признать в действиях Заказчика нарушение п.1 ч.1 ст.33 Закона о контрактной системе.</w:t>
      </w:r>
    </w:p>
    <w:p>
      <w:pPr>
        <w:pStyle w:val="Style6"/>
        <w:keepNext w:val="0"/>
        <w:keepLines w:val="0"/>
        <w:widowControl w:val="0"/>
        <w:numPr>
          <w:ilvl w:val="0"/>
          <w:numId w:val="3"/>
        </w:numPr>
        <w:shd w:val="clear" w:color="auto" w:fill="auto"/>
        <w:tabs>
          <w:tab w:pos="1416" w:val="left"/>
        </w:tabs>
        <w:bidi w:val="0"/>
        <w:spacing w:before="0" w:after="0"/>
        <w:ind w:left="0" w:right="0" w:firstLine="700"/>
        <w:jc w:val="both"/>
      </w:pPr>
      <w:r>
        <w:rPr>
          <w:rStyle w:val="CharStyle7"/>
        </w:rPr>
        <w:t xml:space="preserve">Обязательное для исполнения предписание об устранении нарушений законодательства о контрактной системе Заказчику не выдавать, поскольку закупка отменена путем размещения извещения об отмене определения поставщика (подрядчика, исполнителя) от </w:t>
      </w:r>
      <w:r>
        <w:rPr>
          <w:rStyle w:val="CharStyle7"/>
          <w:lang w:val="en-US" w:eastAsia="en-US"/>
        </w:rPr>
        <w:t xml:space="preserve">25.08.2025 </w:t>
      </w:r>
      <w:r>
        <w:rPr>
          <w:rStyle w:val="CharStyle7"/>
        </w:rPr>
        <w:t>№ИО1.</w:t>
      </w:r>
    </w:p>
    <w:p>
      <w:pPr>
        <w:pStyle w:val="Style6"/>
        <w:keepNext w:val="0"/>
        <w:keepLines w:val="0"/>
        <w:widowControl w:val="0"/>
        <w:numPr>
          <w:ilvl w:val="0"/>
          <w:numId w:val="3"/>
        </w:numPr>
        <w:shd w:val="clear" w:color="auto" w:fill="auto"/>
        <w:tabs>
          <w:tab w:pos="1416" w:val="left"/>
        </w:tabs>
        <w:bidi w:val="0"/>
        <w:spacing w:before="0" w:after="300"/>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установленным гл. </w:t>
      </w:r>
      <w:r>
        <w:rPr>
          <w:rStyle w:val="CharStyle7"/>
          <w:lang w:val="en-US" w:eastAsia="en-US"/>
        </w:rPr>
        <w:t xml:space="preserve">24 </w:t>
      </w:r>
      <w:r>
        <w:rPr>
          <w:rStyle w:val="CharStyle7"/>
        </w:rPr>
        <w:t>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50" w:right="533" w:bottom="1438" w:left="1105" w:header="0" w:footer="3" w:gutter="0"/>
          <w:cols w:space="720"/>
          <w:noEndnote/>
          <w:rtlGutter w:val="0"/>
          <w:docGrid w:linePitch="360"/>
        </w:sectPr>
      </w:pPr>
      <w:r>
        <mc:AlternateContent>
          <mc:Choice Requires="wps">
            <w:drawing>
              <wp:anchor distT="127000" distB="192405" distL="0" distR="0" simplePos="0" relativeHeight="125829382" behindDoc="0" locked="0" layoutInCell="1" allowOverlap="1">
                <wp:simplePos x="0" y="0"/>
                <wp:positionH relativeFrom="page">
                  <wp:posOffset>738505</wp:posOffset>
                </wp:positionH>
                <wp:positionV relativeFrom="paragraph">
                  <wp:posOffset>127000</wp:posOffset>
                </wp:positionV>
                <wp:extent cx="1847215" cy="252730"/>
                <wp:wrapTopAndBottom/>
                <wp:docPr id="19" name="Shape 19"/>
                <a:graphic xmlns:a="http://schemas.openxmlformats.org/drawingml/2006/main">
                  <a:graphicData uri="http://schemas.microsoft.com/office/word/2010/wordprocessingShape">
                    <wps:wsp>
                      <wps:cNvSpPr txBox="1"/>
                      <wps:spPr>
                        <a:xfrm>
                          <a:ext cx="184721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8.149999999999999pt;margin-top:10.pt;width:145.45000000000002pt;height:19.900000000000002pt;z-index:-125829371;mso-wrap-distance-left:0;mso-wrap-distance-top:10.pt;mso-wrap-distance-right:0;mso-wrap-distance-bottom:15.1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27330" distB="635" distL="0" distR="1816735" simplePos="0" relativeHeight="125829384" behindDoc="0" locked="0" layoutInCell="1" allowOverlap="1">
            <wp:simplePos x="0" y="0"/>
            <wp:positionH relativeFrom="page">
              <wp:posOffset>3094355</wp:posOffset>
            </wp:positionH>
            <wp:positionV relativeFrom="paragraph">
              <wp:posOffset>227330</wp:posOffset>
            </wp:positionV>
            <wp:extent cx="298450" cy="34734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3484245</wp:posOffset>
                </wp:positionH>
                <wp:positionV relativeFrom="paragraph">
                  <wp:posOffset>288290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4.35000000000002pt;margin-top:22.699999999999999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192405" distL="0" distR="0" simplePos="0" relativeHeight="125829385" behindDoc="0" locked="0" layoutInCell="1" allowOverlap="1">
                <wp:simplePos x="0" y="0"/>
                <wp:positionH relativeFrom="page">
                  <wp:posOffset>6081395</wp:posOffset>
                </wp:positionH>
                <wp:positionV relativeFrom="paragraph">
                  <wp:posOffset>127000</wp:posOffset>
                </wp:positionV>
                <wp:extent cx="1136650" cy="252730"/>
                <wp:wrapTopAndBottom/>
                <wp:docPr id="25" name="Shape 25"/>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51" type="#_x0000_t202" style="position:absolute;margin-left:478.85000000000002pt;margin-top:10.pt;width:89.5pt;height:19.900000000000002pt;z-index:-125829368;mso-wrap-distance-left:0;mso-wrap-distance-top:10.pt;mso-wrap-distance-right:0;mso-wrap-distance-bottom:15.1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Грешнева Дарья Сергеевна</w:t>
      </w:r>
    </w:p>
    <w:p>
      <w:pPr>
        <w:pStyle w:val="Style21"/>
        <w:keepNext w:val="0"/>
        <w:keepLines w:val="0"/>
        <w:widowControl w:val="0"/>
        <w:shd w:val="clear" w:color="auto" w:fill="auto"/>
        <w:bidi w:val="0"/>
        <w:spacing w:before="0" w:after="0" w:line="240" w:lineRule="auto"/>
        <w:ind w:right="0" w:firstLine="0"/>
        <w:jc w:val="left"/>
      </w:pPr>
      <w:r>
        <w:rPr>
          <w:rStyle w:val="CharStyle22"/>
          <w:color w:val="292929"/>
        </w:rPr>
        <w:t xml:space="preserve">Сертификат № </w:t>
      </w:r>
      <w:r>
        <w:rPr>
          <w:rStyle w:val="CharStyle22"/>
          <w:color w:val="5D5D5D"/>
        </w:rPr>
        <w:t>00831</w:t>
      </w:r>
      <w:r>
        <w:rPr>
          <w:rStyle w:val="CharStyle22"/>
          <w:lang w:val="en-US" w:eastAsia="en-US"/>
        </w:rPr>
        <w:t>B7545C61281C4BAB156778A683BFB</w:t>
      </w:r>
    </w:p>
    <w:p>
      <w:pPr>
        <w:pStyle w:val="Style21"/>
        <w:keepNext w:val="0"/>
        <w:keepLines w:val="0"/>
        <w:widowControl w:val="0"/>
        <w:shd w:val="clear" w:color="auto" w:fill="auto"/>
        <w:bidi w:val="0"/>
        <w:spacing w:before="0" w:after="180" w:line="240" w:lineRule="auto"/>
        <w:ind w:right="0" w:firstLine="0"/>
        <w:jc w:val="left"/>
      </w:pPr>
      <w:r>
        <w:rPr>
          <w:rStyle w:val="CharStyle22"/>
        </w:rPr>
        <w:t xml:space="preserve">Действителен с </w:t>
      </w:r>
      <w:r>
        <w:rPr>
          <w:rStyle w:val="CharStyle22"/>
          <w:color w:val="292929"/>
        </w:rPr>
        <w:t xml:space="preserve">17.07.2025 </w:t>
      </w:r>
      <w:r>
        <w:rPr>
          <w:rStyle w:val="CharStyle22"/>
          <w:color w:val="5D5D5D"/>
        </w:rPr>
        <w:t xml:space="preserve">по </w:t>
      </w:r>
      <w:r>
        <w:rPr>
          <w:rStyle w:val="CharStyle22"/>
        </w:rPr>
        <w:t>10.10.2026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580" w:line="240" w:lineRule="auto"/>
        <w:ind w:left="0" w:right="0" w:firstLine="0"/>
        <w:jc w:val="right"/>
      </w:pPr>
      <w:r>
        <w:drawing>
          <wp:anchor distT="0" distB="0" distL="114300" distR="1900555" simplePos="0" relativeHeight="125829387" behindDoc="0" locked="0" layoutInCell="1" allowOverlap="1">
            <wp:simplePos x="0" y="0"/>
            <wp:positionH relativeFrom="page">
              <wp:posOffset>3063875</wp:posOffset>
            </wp:positionH>
            <wp:positionV relativeFrom="paragraph">
              <wp:posOffset>25400</wp:posOffset>
            </wp:positionV>
            <wp:extent cx="359410" cy="52451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3524250</wp:posOffset>
                </wp:positionH>
                <wp:positionV relativeFrom="paragraph">
                  <wp:posOffset>430530</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77.5pt;margin-top:33.899999999999999pt;width:101.05pt;height:7.9000000000000004pt;z-index:251657731;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3484245</wp:posOffset>
                </wp:positionH>
                <wp:positionV relativeFrom="paragraph">
                  <wp:posOffset>113665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4.35000000000002pt;margin-top:8.9500000000000011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Леонова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Леонова Алена Альбертовна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009389F972AA570F22D19E7C51D28B0906</w:t>
      </w:r>
    </w:p>
    <w:p>
      <w:pPr>
        <w:pStyle w:val="Style21"/>
        <w:keepNext w:val="0"/>
        <w:keepLines w:val="0"/>
        <w:widowControl w:val="0"/>
        <w:shd w:val="clear" w:color="auto" w:fill="auto"/>
        <w:bidi w:val="0"/>
        <w:spacing w:before="0" w:after="180" w:line="240" w:lineRule="auto"/>
        <w:ind w:right="0" w:firstLine="0"/>
        <w:jc w:val="left"/>
      </w:pPr>
      <w:r>
        <w:rPr>
          <w:rStyle w:val="CharStyle22"/>
        </w:rPr>
        <w:t>Действителен с 20.09.2024 по 14.12.2025</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8" behindDoc="0" locked="0" layoutInCell="1" allowOverlap="1">
            <wp:simplePos x="0" y="0"/>
            <wp:positionH relativeFrom="page">
              <wp:posOffset>3063875</wp:posOffset>
            </wp:positionH>
            <wp:positionV relativeFrom="paragraph">
              <wp:posOffset>63500</wp:posOffset>
            </wp:positionV>
            <wp:extent cx="359410" cy="52451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1"/>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3524250</wp:posOffset>
                </wp:positionH>
                <wp:positionV relativeFrom="paragraph">
                  <wp:posOffset>468630</wp:posOffset>
                </wp:positionV>
                <wp:extent cx="1283335" cy="100330"/>
                <wp:wrapNone/>
                <wp:docPr id="35" name="Shape 3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77.5pt;margin-top:36.899999999999999pt;width:101.05pt;height:7.9000000000000004pt;z-index:251657735;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3484245</wp:posOffset>
                </wp:positionH>
                <wp:positionV relativeFrom="paragraph">
                  <wp:posOffset>151765</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4.35000000000002pt;margin-top:11.950000000000001pt;width:135.59999999999999pt;height:20.400000000000002pt;z-index:251657737;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А.И. Рахматуллаев</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Рахматуллаев Алексей Ильич</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7AEE97A08C8432425F146F6255A521C3</w:t>
      </w:r>
    </w:p>
    <w:p>
      <w:pPr>
        <w:pStyle w:val="Style21"/>
        <w:keepNext w:val="0"/>
        <w:keepLines w:val="0"/>
        <w:widowControl w:val="0"/>
        <w:shd w:val="clear" w:color="auto" w:fill="auto"/>
        <w:bidi w:val="0"/>
        <w:spacing w:before="0" w:after="2000" w:line="240" w:lineRule="auto"/>
        <w:ind w:right="0" w:firstLine="0"/>
        <w:jc w:val="left"/>
      </w:pPr>
      <w:r>
        <w:rPr>
          <w:rStyle w:val="CharStyle22"/>
        </w:rPr>
        <w:t xml:space="preserve">Действителен с 12.11.2024 </w:t>
      </w:r>
      <w:r>
        <w:rPr>
          <w:rStyle w:val="CharStyle22"/>
          <w:color w:val="5D5D5D"/>
        </w:rPr>
        <w:t xml:space="preserve">по </w:t>
      </w:r>
      <w:r>
        <w:rPr>
          <w:rStyle w:val="CharStyle22"/>
        </w:rPr>
        <w:t>05.02.2026</w:t>
      </w:r>
    </w:p>
    <w:p>
      <w:pPr>
        <w:pStyle w:val="Style26"/>
        <w:keepNext w:val="0"/>
        <w:keepLines w:val="0"/>
        <w:widowControl w:val="0"/>
        <w:shd w:val="clear" w:color="auto" w:fill="auto"/>
        <w:bidi w:val="0"/>
        <w:spacing w:before="0" w:line="240" w:lineRule="auto"/>
        <w:ind w:left="0" w:right="0" w:firstLine="0"/>
        <w:jc w:val="left"/>
      </w:pPr>
      <w:r>
        <w:rPr>
          <w:rStyle w:val="CharStyle27"/>
        </w:rPr>
        <w:t>Исп.Рахматуллаев А.И. тел.+7 495 784 75 05</w:t>
      </w:r>
    </w:p>
    <w:sectPr>
      <w:footnotePr>
        <w:pos w:val="pageBottom"/>
        <w:numFmt w:val="decimal"/>
        <w:numRestart w:val="continuous"/>
      </w:footnotePr>
      <w:type w:val="continuous"/>
      <w:pgSz w:w="11900" w:h="16840"/>
      <w:pgMar w:top="1494" w:right="532" w:bottom="149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10100310</wp:posOffset>
              </wp:positionV>
              <wp:extent cx="725170" cy="103505"/>
              <wp:wrapNone/>
              <wp:docPr id="9" name="Shape 9"/>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2025-39857</w:t>
                          </w:r>
                        </w:p>
                      </w:txbxContent>
                    </wps:txbx>
                    <wps:bodyPr wrap="none" lIns="0" tIns="0" rIns="0" bIns="0">
                      <a:spAutoFit/>
                    </wps:bodyPr>
                  </wps:wsp>
                </a:graphicData>
              </a:graphic>
            </wp:anchor>
          </w:drawing>
        </mc:Choice>
        <mc:Fallback>
          <w:pict>
            <v:shape id="_x0000_s1035" type="#_x0000_t202" style="position:absolute;margin-left:57.149999999999999pt;margin-top:795.30000000000007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2025-39857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718185</wp:posOffset>
              </wp:positionH>
              <wp:positionV relativeFrom="page">
                <wp:posOffset>10214610</wp:posOffset>
              </wp:positionV>
              <wp:extent cx="725170" cy="128270"/>
              <wp:wrapNone/>
              <wp:docPr id="11" name="Shape 11"/>
              <a:graphic xmlns:a="http://schemas.openxmlformats.org/drawingml/2006/main">
                <a:graphicData uri="http://schemas.microsoft.com/office/word/2010/wordprocessingShape">
                  <wps:wsp>
                    <wps:cNvSpPr txBox="1"/>
                    <wps:spPr>
                      <a:xfrm>
                        <a:ext cx="725170" cy="12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2025-39857</w:t>
                          </w:r>
                        </w:p>
                      </w:txbxContent>
                    </wps:txbx>
                    <wps:bodyPr wrap="none" lIns="0" tIns="0" rIns="0" bIns="0">
                      <a:spAutoFit/>
                    </wps:bodyPr>
                  </wps:wsp>
                </a:graphicData>
              </a:graphic>
            </wp:anchor>
          </w:drawing>
        </mc:Choice>
        <mc:Fallback>
          <w:pict>
            <v:shape id="_x0000_s1037" type="#_x0000_t202" style="position:absolute;margin-left:56.550000000000004pt;margin-top:804.30000000000007pt;width:57.100000000000001pt;height:10.1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2025-39857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725805</wp:posOffset>
              </wp:positionH>
              <wp:positionV relativeFrom="page">
                <wp:posOffset>10100310</wp:posOffset>
              </wp:positionV>
              <wp:extent cx="725170" cy="103505"/>
              <wp:wrapNone/>
              <wp:docPr id="17" name="Shape 17"/>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2025-39857</w:t>
                          </w:r>
                        </w:p>
                      </w:txbxContent>
                    </wps:txbx>
                    <wps:bodyPr wrap="none" lIns="0" tIns="0" rIns="0" bIns="0">
                      <a:spAutoFit/>
                    </wps:bodyPr>
                  </wps:wsp>
                </a:graphicData>
              </a:graphic>
            </wp:anchor>
          </w:drawing>
        </mc:Choice>
        <mc:Fallback>
          <w:pict>
            <v:shape id="_x0000_s1043" type="#_x0000_t202" style="position:absolute;margin-left:57.149999999999999pt;margin-top:795.30000000000007pt;width:57.10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2025-39857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3923665</wp:posOffset>
              </wp:positionH>
              <wp:positionV relativeFrom="page">
                <wp:posOffset>465455</wp:posOffset>
              </wp:positionV>
              <wp:extent cx="52070" cy="69850"/>
              <wp:wrapNone/>
              <wp:docPr id="7" name="Shape 7"/>
              <a:graphic xmlns:a="http://schemas.openxmlformats.org/drawingml/2006/main">
                <a:graphicData uri="http://schemas.microsoft.com/office/word/2010/wordprocessingShape">
                  <wps:wsp>
                    <wps:cNvSpPr txBox="1"/>
                    <wps:spPr>
                      <a:xfrm>
                        <a:ext cx="5207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8.94999999999999pt;margin-top:36.649999999999999pt;width:4.0999999999999996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3923665</wp:posOffset>
              </wp:positionH>
              <wp:positionV relativeFrom="page">
                <wp:posOffset>509270</wp:posOffset>
              </wp:positionV>
              <wp:extent cx="76200" cy="69850"/>
              <wp:wrapNone/>
              <wp:docPr id="13" name="Shape 13"/>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8.94999999999999pt;margin-top:40.100000000000001pt;width:6.pt;height:5.5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3923665</wp:posOffset>
              </wp:positionH>
              <wp:positionV relativeFrom="page">
                <wp:posOffset>465455</wp:posOffset>
              </wp:positionV>
              <wp:extent cx="52070" cy="69850"/>
              <wp:wrapNone/>
              <wp:docPr id="15" name="Shape 15"/>
              <a:graphic xmlns:a="http://schemas.openxmlformats.org/drawingml/2006/main">
                <a:graphicData uri="http://schemas.microsoft.com/office/word/2010/wordprocessingShape">
                  <wps:wsp>
                    <wps:cNvSpPr txBox="1"/>
                    <wps:spPr>
                      <a:xfrm>
                        <a:ext cx="5207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8.94999999999999pt;margin-top:36.649999999999999pt;width:4.0999999999999996pt;height:5.5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5)_"/>
    <w:basedOn w:val="DefaultParagraphFont"/>
    <w:link w:val="Style19"/>
    <w:rPr>
      <w:rFonts w:ascii="Georgia" w:eastAsia="Georgia" w:hAnsi="Georgia" w:cs="Georgia"/>
      <w:b w:val="0"/>
      <w:bCs w:val="0"/>
      <w:i w:val="0"/>
      <w:iCs w:val="0"/>
      <w:smallCaps w:val="0"/>
      <w:strike w:val="0"/>
      <w:color w:val="EBEBEB"/>
      <w:sz w:val="12"/>
      <w:szCs w:val="12"/>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44444"/>
      <w:sz w:val="12"/>
      <w:szCs w:val="12"/>
      <w:u w:val="none"/>
    </w:rPr>
  </w:style>
  <w:style w:type="character" w:customStyle="1" w:styleId="CharStyle27">
    <w:name w:val="Body text (4)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5)"/>
    <w:basedOn w:val="Normal"/>
    <w:link w:val="CharStyle20"/>
    <w:pPr>
      <w:widowControl w:val="0"/>
      <w:shd w:val="clear" w:color="auto" w:fill="auto"/>
      <w:spacing w:after="80"/>
      <w:ind w:left="4460"/>
    </w:pPr>
    <w:rPr>
      <w:rFonts w:ascii="Georgia" w:eastAsia="Georgia" w:hAnsi="Georgia" w:cs="Georgia"/>
      <w:b w:val="0"/>
      <w:bCs w:val="0"/>
      <w:i w:val="0"/>
      <w:iCs w:val="0"/>
      <w:smallCaps w:val="0"/>
      <w:strike w:val="0"/>
      <w:color w:val="EBEBEB"/>
      <w:sz w:val="12"/>
      <w:szCs w:val="12"/>
      <w:u w:val="none"/>
    </w:rPr>
  </w:style>
  <w:style w:type="paragraph" w:customStyle="1" w:styleId="Style21">
    <w:name w:val="Body text (2)"/>
    <w:basedOn w:val="Normal"/>
    <w:link w:val="CharStyle22"/>
    <w:pPr>
      <w:widowControl w:val="0"/>
      <w:shd w:val="clear" w:color="auto" w:fill="auto"/>
      <w:ind w:left="3740"/>
    </w:pPr>
    <w:rPr>
      <w:rFonts w:ascii="Arial" w:eastAsia="Arial" w:hAnsi="Arial" w:cs="Arial"/>
      <w:b w:val="0"/>
      <w:bCs w:val="0"/>
      <w:i w:val="0"/>
      <w:iCs w:val="0"/>
      <w:smallCaps w:val="0"/>
      <w:strike w:val="0"/>
      <w:color w:val="444444"/>
      <w:sz w:val="12"/>
      <w:szCs w:val="12"/>
      <w:u w:val="none"/>
    </w:rPr>
  </w:style>
  <w:style w:type="paragraph" w:customStyle="1" w:styleId="Style26">
    <w:name w:val="Body text (4)"/>
    <w:basedOn w:val="Normal"/>
    <w:link w:val="CharStyle27"/>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