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9795" distL="1214120" distR="1126490" simplePos="0" relativeHeight="125829378" behindDoc="0" locked="0" layoutInCell="1" allowOverlap="1">
            <wp:simplePos x="0" y="0"/>
            <wp:positionH relativeFrom="page">
              <wp:posOffset>1779270</wp:posOffset>
            </wp:positionH>
            <wp:positionV relativeFrom="paragraph">
              <wp:posOffset>12700</wp:posOffset>
            </wp:positionV>
            <wp:extent cx="521335" cy="6032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133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20090" distB="711200" distL="342900" distR="247015" simplePos="0" relativeHeight="125829379" behindDoc="0" locked="0" layoutInCell="1" allowOverlap="1">
                <wp:simplePos x="0" y="0"/>
                <wp:positionH relativeFrom="page">
                  <wp:posOffset>908050</wp:posOffset>
                </wp:positionH>
                <wp:positionV relativeFrom="paragraph">
                  <wp:posOffset>732790</wp:posOffset>
                </wp:positionV>
                <wp:extent cx="2272030" cy="134175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2030" cy="1341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en-US" w:eastAsia="en-US"/>
                              </w:rPr>
                              <w:t>A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IП И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lang w:val="en-US" w:eastAsia="en-US"/>
                              </w:rPr>
                              <w:t xml:space="preserve">MOHOI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10.1 ЬН А Я ( .1УЖБА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 xml:space="preserve">Федеральной ан </w:t>
                            </w:r>
                            <w:r>
                              <w:rPr>
                                <w:rStyle w:val="CharStyle6"/>
                                <w:b/>
                                <w:bCs/>
                                <w:lang w:val="en-US" w:eastAsia="en-US"/>
                              </w:rPr>
                              <w:t xml:space="preserve">i </w:t>
                            </w: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пр. Мира. 81 д, г. Красноярск. 660017</w:t>
                              <w:br/>
                              <w:t>тсд. (391) 211-00-00. факс (301) 211-01-14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to </w:t>
                            </w:r>
                            <w:r>
                              <w:rPr>
                                <w:rStyle w:val="CharStyle3"/>
                              </w:rPr>
                              <w:t xml:space="preserve">2 4 '&lt;/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fa s</w:t>
                            </w:r>
                            <w:r>
                              <w:rPr>
                                <w:rStyle w:val="CharStyle3"/>
                              </w:rPr>
                              <w:t xml:space="preserve">.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gov. </w:t>
                            </w:r>
                            <w:r>
                              <w:rPr>
                                <w:rStyle w:val="CharStyle3"/>
                              </w:rPr>
                              <w:t>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1.5pt;margin-top:57.700000000000003pt;width:178.90000000000001pt;height:105.65000000000001pt;z-index:-125829374;mso-wrap-distance-left:27.pt;mso-wrap-distance-top:56.700000000000003pt;mso-wrap-distance-right:19.449999999999999pt;mso-wrap-distance-bottom:5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lang w:val="en-US" w:eastAsia="en-US"/>
                        </w:rPr>
                        <w:t>A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>IП И</w:t>
                      </w:r>
                      <w:r>
                        <w:rPr>
                          <w:rStyle w:val="CharStyle3"/>
                          <w:b/>
                          <w:bCs/>
                          <w:lang w:val="en-US" w:eastAsia="en-US"/>
                        </w:rPr>
                        <w:t xml:space="preserve">MOHOI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>10.1 ЬН А Я ( .1УЖБА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 xml:space="preserve">Федеральной ан </w:t>
                      </w:r>
                      <w:r>
                        <w:rPr>
                          <w:rStyle w:val="CharStyle6"/>
                          <w:b/>
                          <w:bCs/>
                          <w:lang w:val="en-US" w:eastAsia="en-US"/>
                        </w:rPr>
                        <w:t xml:space="preserve">i </w:t>
                      </w:r>
                      <w:r>
                        <w:rPr>
                          <w:rStyle w:val="CharStyle6"/>
                          <w:b/>
                          <w:bCs/>
                        </w:rPr>
                        <w:t>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пр. Мира. 81 д, г. Красноярск. 660017</w:t>
                        <w:br/>
                        <w:t>тсд. (391) 211-00-00. факс (301) 211-01-14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to </w:t>
                      </w:r>
                      <w:r>
                        <w:rPr>
                          <w:rStyle w:val="CharStyle3"/>
                        </w:rPr>
                        <w:t xml:space="preserve">2 4 '&lt;/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fa s</w:t>
                      </w:r>
                      <w:r>
                        <w:rPr>
                          <w:rStyle w:val="CharStyle3"/>
                        </w:rPr>
                        <w:t xml:space="preserve">.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gov. </w:t>
                      </w:r>
                      <w:r>
                        <w:rPr>
                          <w:rStyle w:val="CharStyle3"/>
                        </w:rPr>
                        <w:t>ги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272030" distB="635" distL="114300" distR="114300" simplePos="0" relativeHeight="125829381" behindDoc="0" locked="0" layoutInCell="1" allowOverlap="1">
                <wp:simplePos x="0" y="0"/>
                <wp:positionH relativeFrom="page">
                  <wp:posOffset>679450</wp:posOffset>
                </wp:positionH>
                <wp:positionV relativeFrom="paragraph">
                  <wp:posOffset>2284730</wp:posOffset>
                </wp:positionV>
                <wp:extent cx="2633345" cy="50038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3345" cy="5003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 xml:space="preserve">-Z^.^^^ </w:t>
                            </w:r>
                            <w:r>
                              <w:rPr>
                                <w:rStyle w:val="CharStyle8"/>
                                <w:color w:val="000000"/>
                              </w:rPr>
                              <w:t xml:space="preserve">№ </w:t>
                            </w:r>
                            <w:r>
                              <w:rPr>
                                <w:rStyle w:val="CharStyle8"/>
                                <w:u w:val="single"/>
                                <w:lang w:val="ru-RU" w:eastAsia="ru-RU"/>
                              </w:rPr>
                              <w:t>Ж^г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Ha№  o-i ~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3.5pt;margin-top:179.90000000000001pt;width:207.34999999999999pt;height:39.399999999999999pt;z-index:-125829372;mso-wrap-distance-left:9.pt;mso-wrap-distance-top:178.90000000000001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 xml:space="preserve">-Z^.^^^ </w:t>
                      </w:r>
                      <w:r>
                        <w:rPr>
                          <w:rStyle w:val="CharStyle8"/>
                          <w:color w:val="000000"/>
                        </w:rPr>
                        <w:t xml:space="preserve">№ </w:t>
                      </w:r>
                      <w:r>
                        <w:rPr>
                          <w:rStyle w:val="CharStyle8"/>
                          <w:u w:val="single"/>
                          <w:lang w:val="ru-RU" w:eastAsia="ru-RU"/>
                        </w:rPr>
                        <w:t>Ж^г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Ha№  o-i ~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20" w:right="0" w:firstLine="60"/>
        <w:jc w:val="left"/>
      </w:pPr>
      <w:r>
        <w:rPr>
          <w:rStyle w:val="CharStyle14"/>
        </w:rPr>
        <w:t xml:space="preserve">ООО «Смартмедикс» ул. Сущевский вал, д. 5, стр. 20, оф. 4/9, г. Москва, 127018 </w:t>
      </w:r>
      <w:r>
        <w:fldChar w:fldCharType="begin"/>
      </w:r>
      <w:r>
        <w:rPr/>
        <w:instrText> HYPERLINK "mailto:info@smartmedics.ru" </w:instrText>
      </w:r>
      <w:r>
        <w:fldChar w:fldCharType="separate"/>
      </w:r>
      <w:r>
        <w:rPr>
          <w:rStyle w:val="CharStyle14"/>
          <w:lang w:val="en-US" w:eastAsia="en-US"/>
        </w:rPr>
        <w:t>info@smartmedics.ru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20" w:right="0" w:firstLine="60"/>
        <w:jc w:val="left"/>
      </w:pPr>
      <w:r>
        <w:rPr>
          <w:rStyle w:val="CharStyle14"/>
        </w:rPr>
        <w:t xml:space="preserve">КГБУЗ «Красноярский межрайонный родильный дом № 2» пр-т им. газеты Красноярский рабочий, д. 170, г. Красноярск, 660064 </w:t>
      </w:r>
      <w:r>
        <w:fldChar w:fldCharType="begin"/>
      </w:r>
      <w:r>
        <w:rPr/>
        <w:instrText> HYPERLINK "mailto:zakup.kmrd2@yandex.ru" </w:instrText>
      </w:r>
      <w:r>
        <w:fldChar w:fldCharType="separate"/>
      </w:r>
      <w:r>
        <w:rPr>
          <w:rStyle w:val="CharStyle14"/>
          <w:lang w:val="en-US" w:eastAsia="en-US"/>
        </w:rPr>
        <w:t>zakup.kmrd2@yandex.ru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5160" w:right="0" w:hanging="4380"/>
        <w:jc w:val="left"/>
      </w:pPr>
      <w:r>
        <w:rPr>
          <w:rStyle w:val="CharStyle14"/>
        </w:rPr>
        <w:t xml:space="preserve">Агентство государственного заказа Красноярского края пр.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4"/>
          <w:lang w:val="en-US" w:eastAsia="en-US"/>
        </w:rPr>
        <w:t>agz_priem@mail.ru</w:t>
      </w:r>
      <w:r>
        <w:fldChar w:fldCharType="end"/>
      </w:r>
      <w:r>
        <w:rPr>
          <w:rStyle w:val="CharStyle14"/>
          <w:lang w:val="en-US" w:eastAsia="en-US"/>
        </w:rPr>
        <w:t>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5160" w:right="0" w:firstLine="0"/>
        <w:jc w:val="left"/>
      </w:pPr>
      <w:r>
        <w:fldChar w:fldCharType="begin"/>
      </w:r>
      <w:r>
        <w:rPr/>
        <w:instrText> HYPERLINK "mailto:agz_polozkova@mail.ru" </w:instrText>
      </w:r>
      <w:r>
        <w:fldChar w:fldCharType="separate"/>
      </w:r>
      <w:r>
        <w:rPr>
          <w:rStyle w:val="CharStyle14"/>
          <w:lang w:val="en-US" w:eastAsia="en-US"/>
        </w:rPr>
        <w:t>agz_polozkova@mail.ru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00" w:line="254" w:lineRule="auto"/>
        <w:ind w:left="5160" w:right="0" w:firstLine="0"/>
        <w:jc w:val="left"/>
      </w:pPr>
      <w:r>
        <w:rPr>
          <w:rStyle w:val="CharStyle14"/>
        </w:rPr>
        <w:t xml:space="preserve">РТС-тендер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4"/>
          <w:lang w:val="en-US" w:eastAsia="en-US"/>
        </w:rPr>
        <w:t>info@rts-tender.ru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rStyle w:val="CharStyle14"/>
        </w:rPr>
        <w:t>Решение № 024/06/106-2472/2025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both"/>
      </w:pPr>
      <w:r>
        <w:rPr>
          <w:rStyle w:val="CharStyle14"/>
        </w:rPr>
        <w:t>28 августа 2025 года 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80"/>
        <w:jc w:val="both"/>
      </w:pPr>
      <w:r>
        <w:rPr>
          <w:rStyle w:val="CharStyle14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руководителя, члены Комиссии: М.А. Грицай, начальник отдела, Н.С. Криворучкин, ведущий специалист-эксперт (далее - Комиссия), рассмотрев жалобу ООО «Смартмедикс» (далее - податель жалобы) на действия аукционной комиссии заказчика - КГБУЗ «Красноярский межрайонный родильный дом № 2» (далее - заказчик), уполномоченного органа — Агентства государственного заказа Красноярского края (далее — уполномоченный орган) при проведении открытого аукциона в электронной форме ЭА-№-14961/25 «Поставка медицинского оборудования (Монитор для определения физиологических показателей матери и плода)» (далее - электронный аукцион), ИКЗ 252246400222724640100101760012660244, извещение № 0119200000125014797 на электронной торговой площадке РТС-тендер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80"/>
        <w:jc w:val="both"/>
      </w:pPr>
      <w:r>
        <w:rPr>
          <w:rStyle w:val="CharStyle14"/>
        </w:rPr>
        <w:t>Существо жалобы: нарушение закупочной комиссией порядка рассмотрения заявок о проведении электронного аукциона с нарушением требований,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80"/>
        <w:jc w:val="both"/>
      </w:pPr>
      <w:r>
        <w:rPr>
          <w:rStyle w:val="CharStyle14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780"/>
        <w:jc w:val="both"/>
      </w:pPr>
      <w:r>
        <w:rPr>
          <w:rStyle w:val="CharStyle14"/>
        </w:rPr>
        <w:t>В адрес заказчика, подателя жалобы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До начала заседания в адрес Комиссии поступило ходатайство подателя жалобы об участии в рассмотрении жалобы посредством видеоконференцсвязи, указанное ходатайство было рассмотрено и удовлетворено.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Кроме того, в адрес Комиссии поступило ходатайство заинтересованного лица - ООО «Адамедика» об участии в рассмотрении жалобы посредством видеоконференцсвязи, указанное ходатайство было рассмотрено и удовлетворено.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На заседании Комиссии по рассмотрению жалобы по существу, назначенном на 28.08.2025 в 9 часов 15 минут (время местное), лично присутствовали представитель заказчика, представитель уполномоченного органа, надлежащим образом подтвердившие свои личности и полномочия. Посредством видеоконференцсвязи присутствовали представитель подателя жалобы и представитель заинтересованного лица, также надлежащим образом подтвердившие свои личности и полномочия.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Из доводов жалобы следует, что, по мнению подателя жалобы, в действиях заказчика, уполномоченного органа содержится нарушение пункта 2 части 1 статьи 33 Закона о контрактной системе, выразившееся в использовании при описании объекта закупки показателей, предусмотренных законодательством Российской Федерации о стандартизации, без надлежащего обоснования необходимости их применения.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Заказчиком, уполномоченным органом представлены письменные возражения (с приложением подтверждающих документов) в отношении доводов жалобы, из которых следует, что заявка ООО «Адамедика» была признана соответствующей правомерно, поскольку она соответствует требованиям, установленным в извещении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Заинтересованным лицом представлены письменные возражения в отношении доводов жалобы, из которых следует, что заявка ООО «Адамедика» была признана соответствующей правомерно, поскольку она соответствует требованиям, установленным в извещении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В связи с возникшей потребностью у заказчика им были совершены действия по проведению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Согласно пункту 1 части 1 статьи 31 Закона о контрактной системе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Согласно подпункту «а» пункта 2 части 1 статьи 43 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rStyle w:val="CharStyle14"/>
        </w:rPr>
        <w:t>Согласно подпункту «в» пункта 2 части 1 статьи 43 Закона о контрактной системе предложение участника закупки в отношении объекта закупки должно содержать документы, подтверждающие соответствие товара, работы или услуги требованиям, установленным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>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 xml:space="preserve">Согласно пункту 2.3 Приложения № 3 к Извещению об осуществлении закупки «Требования к содержанию, составу заявки на участие в закупке» предложение участника закупки в отношении объекта закупки должно содержать документы, подтверждающие соответствие товара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закупки), а именно копии действующего регистрационного удостоверения на медицинское изделие, подлежащее государственной регистрации, или выписку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полученную в соответствии с требованиями Постановления Правительства РФ от 30.09.2021 </w:t>
      </w:r>
      <w:r>
        <w:rPr>
          <w:rStyle w:val="CharStyle14"/>
          <w:lang w:val="en-US" w:eastAsia="en-US"/>
        </w:rPr>
        <w:t xml:space="preserve">N </w:t>
      </w:r>
      <w:r>
        <w:rPr>
          <w:rStyle w:val="CharStyle14"/>
        </w:rPr>
        <w:t>1650.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Согласно пункту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выявления недостоверной информации, содержащейся в заявке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Объектом закупки является поставка медицинского оборудования, а именно монитора для определения физиологических показателей матери и плода.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 xml:space="preserve">Податель жалобы указывает, что монитор </w:t>
      </w:r>
      <w:r>
        <w:rPr>
          <w:rStyle w:val="CharStyle14"/>
          <w:lang w:val="en-US" w:eastAsia="en-US"/>
        </w:rPr>
        <w:t xml:space="preserve">COMEN STAR5000C </w:t>
      </w:r>
      <w:r>
        <w:rPr>
          <w:rStyle w:val="CharStyle14"/>
        </w:rPr>
        <w:t>(регистрационное удостоверение № ФСЗ 2011/10062), предлагаемый к поставке ООО «Адамедика», не соответствует требованиям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 xml:space="preserve">Податель жалобы также указывает, что согласно Инструкции к Монитору </w:t>
      </w:r>
      <w:r>
        <w:rPr>
          <w:rStyle w:val="CharStyle14"/>
          <w:lang w:val="en-US" w:eastAsia="en-US"/>
        </w:rPr>
        <w:t xml:space="preserve">COMEN STAR5000C, </w:t>
      </w:r>
      <w:r>
        <w:rPr>
          <w:rStyle w:val="CharStyle14"/>
        </w:rPr>
        <w:t>размещенной на официальном сайте Федеральной службы по надзору в сфере здравоохранения (далее - Росздравнадзор), у указанного монитора не предусмотрено наличие беспроводных датчиков, возможность автоматизированного анализа параметров КТГ, применения методик Фишеру/Кребсу, методики Доуза-Редмана.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Кроме того, подателем жалобы представлены заключения специалистов, согласно которым у названного фекального монитора установлено отсутствие указанных принадлежностей и функций.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Заинтересованное лицо (ООО «Адамедика») представило письменные возражения, согласно которым предлагаемое им к поставке оборудование соответствует требованиям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 xml:space="preserve">В подтверждение указанного заинтересованное лицо представило инструкцию от производителя монитора </w:t>
      </w:r>
      <w:r>
        <w:rPr>
          <w:rStyle w:val="CharStyle14"/>
          <w:lang w:val="en-US" w:eastAsia="en-US"/>
        </w:rPr>
        <w:t xml:space="preserve">COMEN STAR5000C </w:t>
      </w:r>
      <w:r>
        <w:rPr>
          <w:rStyle w:val="CharStyle14"/>
        </w:rPr>
        <w:t>(Шэньчжэнь Комен Медикал Инструменте Ко., Лтд.), согласно сведениям из которой характеристики оборудования соответствуют требованиям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 xml:space="preserve">Вместе с тем, на официальном сайте Росздравнадзора представлена инструкция к монитору </w:t>
      </w:r>
      <w:r>
        <w:rPr>
          <w:rStyle w:val="CharStyle14"/>
          <w:lang w:val="en-US" w:eastAsia="en-US"/>
        </w:rPr>
        <w:t xml:space="preserve">COMEN STAR5000C </w:t>
      </w:r>
      <w:r>
        <w:rPr>
          <w:rStyle w:val="CharStyle14"/>
        </w:rPr>
        <w:t>(регистрационное удостоверение № ФСЗ 2011/10062), в которой не содержится сведений о наличии у указанного монитора беспроводных датчиков, возможности автоматизированного анализа параметров КТГ, применения методик Фишеру/Кребсу, методики Доуза-Редмана.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Исходя из части 3 статьи 38 Федерального закона от 21.11.2011 № 323-ФЗ «Об основах охраны здоровья граждан в Российской Федерации» (далее - Закон № 323-ФЗ) обращение медицинских изделий включает в себя технические испытания, токсикологические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rStyle w:val="CharStyle14"/>
        </w:rPr>
        <w:t>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Согласно пункту 4 Приказа Министерства здравоохранения РФ от 19 января 2017 г. № Пн «Об утверждении требований к содержанию технической и эксплуатационной документации производителя (изготовителя) медицинского изделия» техническая документация производителя (изготовителя) на медицинское изделие (далее - техническая документация), представляемая производителем (изготовителем) медицинского изделия или уполномоченным представителем производителя (изготовителя) медицинского изделия в составе регистрационного досье на медицинское изделие, за исключением программного обеспечения, являющегося медицинским изделием, в том числе программного обеспечения с применением технологий искусственного интеллекта (далее - программное обеспечение, являющееся медицинским изделием), должна помимо прочего содержать: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описание основных функциональных элементов медицинского изделия, которое может сопровождаться схемами, фотографическими изображениями, рисунками, диаграммами и иными пояснениями;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4" w:val="left"/>
        </w:tabs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описание составных частей (узлов) медицинского изделия (при наличии).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 xml:space="preserve">В соответствии с частью 4 статьи 38 Закона </w:t>
      </w:r>
      <w:r>
        <w:rPr>
          <w:rStyle w:val="CharStyle14"/>
          <w:lang w:val="en-US" w:eastAsia="en-US"/>
        </w:rPr>
        <w:t xml:space="preserve">N </w:t>
      </w:r>
      <w:r>
        <w:rPr>
          <w:rStyle w:val="CharStyle14"/>
        </w:rPr>
        <w:t>323-ФЗ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Правила регистрации медицинских изделий утверждены постановлением Правительства Российской Федерации от 27 декабря 2012 г. № 1416 «Об утверждении Правил государственной регистрации медицинских изделий» (далее - Правила).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rStyle w:val="CharStyle14"/>
        </w:rPr>
        <w:t>В соответствии с пунктом 2 Правил государственной регистрации подлежат любые инструменты, аппараты, приборы, оборудование, материалы и прочие изделия, применяемые в медицинских целях отдельно или в сочетании между собой, а также вместе с другими принадлежностями, необходимыми для применения указанных изделий по назначению, включая специальное программное обеспечение, и предназначенные производителем (изготовителем) для профилактики, диагностики, лечения и медицинской реабилитации заболеваний, мониторинга состояния организма человека, проведения медицинских исследований, восстановления, замещения, изменения анатомической структуры или физиологических функций организма, предотвращения или прерывания беременности, функциональное назначение которых не реализуется путем фармакологического,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иммунологического, генетического или метаболического воздействия на организм человека (далее - медицинские изделия).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Согласно пункту 5 Правил государственная регистрация медицинских изделий проводится на основании результатов технических испытаний, токсикологических исследований, клинических испытаний, представляющих собой формы оценки соответствия медицинских изделий с учетом классификации в зависимости от потенциального риска их применения, и экспертизы качества, эффективности и безопасности медицинских изделий с учетом классификации в зависимости от потенциального риска их применения, а также испытаний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которых утверждается Министерством здравоохранения Российской Федерации).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соответствии с пунктом 6 Правил документом, подтверждающим факт государственной регистрации медицинского изделия, является регистрационное удостоверение на медицинское изделие (далее - регистрационное удостоверение). Форма регистрационного удостоверения утверждается регистрирующим органом. Регистрационное удостоверение выдается бессрочно.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соответствии с подпунктом «а» пункта 56 Правил в регистрационном удостоверении указываются, среди прочего, следующие сведения: наименование медицинского изделия (с указанием принадлежностей, необходимых для применения медицинского изделия по назначению).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соответствии с пунктом 10 Правил для государственной регистрации медицинского изделия (за исключением медицинских изделий, включенных в перечень) представляются следующие документы: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г) эксплуатационная документация производителя (изготовителя) на медицинское изделие, в том числе инструкция по применению или руководство по эксплуатации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этом, согласно пункту 39 Правил внесение изменений в документы, указанные в подпунктах "в" и "г" пункта 10 настоящих Правил (за исключением случаев, указанных в подпункте "г" пункта 37 настоящих Правил), осуществляется по результатам экспертизы качества, эффективности и безопасности медицинского изделия, проведенной в порядке, аналогичном порядку проведения экспертизы качества, эффективности и безопасности медицинского изделия в целях его государственной регистрации в соответствии с пунктом 21 настоящих Правил, в случае если регистрирующим органом по результатам проверки полноты и достоверности сведений, содержащихся в представленных документах, установлено, что внесение заявленных изменений влечет изменение свойств и характеристик, влияющих на качество, эффективность и безопасность медицинского изделия, или совершенствует его свойства и характеристики при неизменности функционального назначения и (или) принципа действия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Указанные сведения размещаются Росздравнадзором в государственном реестре медицинских изделий и организаций.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Медицинское изделие должно полностью соответствовать инструкции по применению или руководству по эксплуатации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Оценивая технические параметры и иные характеристики зарегистрированного медицинского изделия, следует полагаться на информацию из регистрационного удостоверения и инструкции по применению или руководству по эксплуатации, размещенных на официальном сайте Росздравнадзора в сети Интернет.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случае, если письма участников рынка противоречат официальной информации из регистрационного удостоверения и инструкции по применению или руководству по эксплуатации, размещенных на сайте Росздравнадзора, следует руководствоваться информацией из регистрационного удостоверения и инструкции по применению или руководству по эксплуатации размещенных на официальном сайте Росздравнадзора.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Таким образом, инструкция к медицинскому изделию, представленная на сайте Росздравнадзора, имеет приоритет над инструкцией, представленной производителем.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доводам заинтересованного лица, на сайте Росздравнадзора размещена устаревшая инструкция от 07.07.2011, сейчас же монитор фетальный </w:t>
      </w:r>
      <w:r>
        <w:rPr>
          <w:rStyle w:val="CharStyle14"/>
          <w:lang w:val="en-US" w:eastAsia="en-US"/>
        </w:rPr>
        <w:t xml:space="preserve">COMEN STAR5000C </w:t>
      </w:r>
      <w:r>
        <w:rPr>
          <w:rStyle w:val="CharStyle14"/>
        </w:rPr>
        <w:t>имеет другие характеристики и другую инструкцию.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Однако Комиссией установлено, что последние изменения в реестровую запись 71605 (регистрационное удостоверение № ФСЗ 2011/10062) внесены 07.07.2023 и не содержат изменений инструкции или руководства по эксплуатации.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Кроме того, Росздравнадзор в своем письме № 01и-484/23 от 13.06.2023 сообщил о том, что монитор фетальный </w:t>
      </w:r>
      <w:r>
        <w:rPr>
          <w:rStyle w:val="CharStyle14"/>
          <w:lang w:val="en-US" w:eastAsia="en-US"/>
        </w:rPr>
        <w:t xml:space="preserve">COMEN </w:t>
      </w:r>
      <w:r>
        <w:rPr>
          <w:rStyle w:val="CharStyle14"/>
        </w:rPr>
        <w:t xml:space="preserve">с вариантами исполнения </w:t>
      </w:r>
      <w:r>
        <w:rPr>
          <w:rStyle w:val="CharStyle14"/>
          <w:lang w:val="en-US" w:eastAsia="en-US"/>
        </w:rPr>
        <w:t xml:space="preserve">STAR5000 </w:t>
      </w:r>
      <w:r>
        <w:rPr>
          <w:rStyle w:val="CharStyle14"/>
        </w:rPr>
        <w:t>является недоброкачественным медицинским изделием ввиду несоответствия требованиям технической документации производителя, содержащейся в комплекте с данной регистрационной документацией, в части проверенных характеристик.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письме Росздравнадзора № 10-70721-22 от 17.10.2022 также указывается, что актуальная эксплуатационная документация на медицинское изделие «Монитор фетальный </w:t>
      </w:r>
      <w:r>
        <w:rPr>
          <w:rStyle w:val="CharStyle14"/>
          <w:lang w:val="en-US" w:eastAsia="en-US"/>
        </w:rPr>
        <w:t xml:space="preserve">COMEN </w:t>
      </w:r>
      <w:r>
        <w:rPr>
          <w:rStyle w:val="CharStyle14"/>
        </w:rPr>
        <w:t>с принадлежностями» размещена в реестровой записи медицинских изделий на официальном сайте Росздравнадзора, а не в транспортной упаковке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Указанный объект закупки (монитор фетальный </w:t>
      </w:r>
      <w:r>
        <w:rPr>
          <w:rStyle w:val="CharStyle14"/>
          <w:lang w:val="en-US" w:eastAsia="en-US"/>
        </w:rPr>
        <w:t xml:space="preserve">COMEN STAR </w:t>
      </w:r>
      <w:r>
        <w:rPr>
          <w:rStyle w:val="CharStyle14"/>
        </w:rPr>
        <w:t xml:space="preserve">5000С уже был предметом рассмотрения иных жалоб (решение УФАС по Республике Крым и г. Севастополю по делу № 082/06/106-930/2022 от 15.08.2022, решение УФАС по Воронежской области № 036/06/48-792/2025 от 02.07.2025, решение УФАС по Чувашской Республике - Чувашии № 021/06/48-747/2025 от 01.06.2025). Антимонопольный орган в указанных решениях пришел к выводу о том, что предложение к закупке фетального монитора </w:t>
      </w:r>
      <w:r>
        <w:rPr>
          <w:rStyle w:val="CharStyle14"/>
          <w:lang w:val="en-US" w:eastAsia="en-US"/>
        </w:rPr>
        <w:t xml:space="preserve">COMEN STAR </w:t>
      </w:r>
      <w:r>
        <w:rPr>
          <w:rStyle w:val="CharStyle14"/>
        </w:rPr>
        <w:t>5000С с приложением подтверждающих сведений в виде инструкции производителя вместо инструкции, размещенной на сайте Росздравнадзора, является представлением недостоверных сведений.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образом, из документации, представленной на официальном сайте Росздравнадзора, следует, что фетальный монитор </w:t>
      </w:r>
      <w:r>
        <w:rPr>
          <w:rStyle w:val="CharStyle14"/>
          <w:lang w:val="en-US" w:eastAsia="en-US"/>
        </w:rPr>
        <w:t xml:space="preserve">COMEN STAR5000C </w:t>
      </w:r>
      <w:r>
        <w:rPr>
          <w:rStyle w:val="CharStyle14"/>
        </w:rPr>
        <w:t>не обладает характеристиками, требуемыми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Заказчиком представлены письменные возражения на жалобу, в которых он указывает, что информацией о недостоверности представленных победителем аукциона сведений комиссия не располагала.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Комиссия обращает внимание подателя жалобы на тот факт, что Росздравнадзор не обязывает производителя регистрировать все характеристики, присущие оборудованию, производитель делает это на свое усмотрение. Таким образом, информация об оборудовании в руководстве, размещенном на сайте Росздравнадзора, может не содержать исчерпывающего описания товара и не свидетельствует об отсутствии у товара определенных характеристик.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Указанный вывод прямо содержится в определении Верховного суда от 18.07.2024 № 308-ЭС24-10665 по делу № А32-51262/2022, постановлении Четвертого арбитражного апелляционного суда от 01.02.2024 № 04АП-5770/2023 по делу № А19-15384/2023.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Комиссия отмечает, что отсутствие каких-либо параметров, характеристик в инструкции, руководстве по эксплуатации на товар не является подтверждением и доказательством того факта, что фактически товар ими не обладает. При этом предъявление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заказчиком характеристик закупаемого товара обусловлено его действительной потребностью. Таким образом, обстоятельство отсутствия какой-либо характеристики в инструкции, руководстве по эксплуатации на товар не может вменяться в вину заказчику при наличии у него потребности в товаре с предъявляемыми им характеристиками. При этом на этапе приемки товара заказчик обязан проверить соответствие всех характеристик поставленного товара требованиям, заявленным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Позиция Комиссии совпадает с позицией, изложенной в Решении Московского УФАС России от 23.09.2024 по делу № 077/06/106-12835/2024, Решении Московского УФАС России от 09.08.2024 по делу № 077/06/106-10583/2024, Решении Новосибирского УФАС России от 4 8.04.2024 № 054/06/48-979/2024.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Кроме того, подателем жалобы не представлено какого-либо нормативного обоснования обязательности указания всех характеристик, имеющихся у медицинского изделия, в регистрационном удостоверении и инструкции по эксплуатации данного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Учитывая изложенное, Комиссия приходит к выводу о том, что действия аукционной комиссии уполномоченного органа, заказчика в части рассмотрения заявок, поданных на участие в закупке, не противоречат положениям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Кроме того, в результате проведения внеплановой проверки Комиссия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Комиссия установила, что признавая заявку (№ 119443 5 62) на участие в закупке соответствующей требованиям извещения о закупке, Закона о контрактной системе, аукционная комиссия не допустила нарушения требований Закона о контрактной системе, с учетом вышеизложенных в настоящем решении выводов Комиссии, основанных на непосредственном исследовании фактического содержания заявок участников закупки и сопоставлении такого содержания с требованиями извещения о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Комиссия отмечает, что аукционной комиссии не вменена законодательная обязанность при проведении конкурентной процедуры осуществлять дополнительные проверочные мероприятия в целях установления степени достоверности характеристик предложенных участниками закупки к поставке товаров в поданных ими заявках.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Вместе с тем, как указано в Определении Конституционного Суда РФ от 14.12.2023 № 3288-0, комиссия по осуществлению закупок в случае возникновения сомнений в достоверности представленных в заявке на участие в закупке сведений вправе и обязана проверять соответствие сведений действительности.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Согласно положениям статьи 48 Закона о контрактной системе члены комиссии рассматривают вторые части заявок на участие в закупке, а также информацию и документы, направленные оператором электронной площадки,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Комиссия констатирует, что предусмотренная Законом о контрактной системе обязанность комиссии по осуществлению закупок отклонить заявку в случае выявления недостоверной информации, содержащейся в заявке, направлена на обеспечение баланса и защиты прав заказчиков, уполномоченных органов и иных участников закупок в целях обеспечения гласности и прозрачности их осуществления, предотвращения коррупции и других злоупотреблений в указанной сфере.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Вместе с тем, как отмечает Комиссия, на момент рассмотрения заявки (№ 119443 5 62) по рассматриваемой закупке у аукционной комиссии заказчика не возникло таких сомнений.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Аукционная комиссия в отсутствие оснований не доверять информации, представленной участником закупки в заявке (№ 119443562), не обладая сведениями о наличии в заявках каких-либо недостоверных сведений на момент рассмотрения заявок, должна исходить из принципа добросовестности, согласно части 3 статьи 1 Гражданского кодекса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Более того, для отстранения участника закупки на основании положения пункта 8 части 12 статьи 48 Закона о контрактной системе недостоверность соответствующей информации должна быть подтверждена надлежащим образом. Аналогичная по своему правовому содержанию позиция зафиксирована в письме ФАС России от 20.08.2021 № ПИ/6993 8/21.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Учитывая изложенное, Комиссия приходит к выводу о том, что у аукционной комиссии на момент рассмотрения заявок отсутствовали достаточные основания для признания заявки (№ 119443562) несоответствующей требованиям извещения о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этом, как было указано выше, на этапе приемки товара заказчик обязан проверить соответствие всех характеристик поставленного товара требованиям, заявленным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15, 22 статьи 99, частью 8 статьи 106 Закона о контрактной системе Комиссия Красноярского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 w:line="271" w:lineRule="auto"/>
        <w:ind w:left="0" w:right="0" w:firstLine="720"/>
        <w:jc w:val="both"/>
      </w:pPr>
      <w:r>
        <w:rPr>
          <w:rStyle w:val="CharStyle14"/>
        </w:rPr>
        <w:t>Признать жалобу ООО «Смартмедикс» 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5" w:val="left"/>
        </w:tabs>
        <w:bidi w:val="0"/>
        <w:spacing w:before="0" w:after="0" w:line="271" w:lineRule="auto"/>
        <w:ind w:left="0" w:right="0" w:firstLine="720"/>
        <w:jc w:val="both"/>
      </w:pPr>
      <w:r>
        <w:rPr>
          <w:rStyle w:val="CharStyle14"/>
        </w:rPr>
        <w:t>В связи с выявлением при рассмотрении жалобы факта несоответствия сведений, представленных в заявке на участие в закупке, сведениям, размещенным на официальном сайте Росздравнадзора - выдать аукционной комиссии заказчика предписание о повторном рассмотрении всех заявок, поданных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20"/>
        <w:jc w:val="both"/>
      </w:pPr>
      <w:r>
        <w:drawing>
          <wp:anchor distT="0" distB="1066800" distL="114300" distR="114300" simplePos="0" relativeHeight="125829383" behindDoc="0" locked="0" layoutInCell="1" allowOverlap="1">
            <wp:simplePos x="0" y="0"/>
            <wp:positionH relativeFrom="page">
              <wp:posOffset>4365625</wp:posOffset>
            </wp:positionH>
            <wp:positionV relativeFrom="paragraph">
              <wp:posOffset>393700</wp:posOffset>
            </wp:positionV>
            <wp:extent cx="2884805" cy="219011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884805" cy="21901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574040" distL="114300" distR="114300" simplePos="0" relativeHeight="125829384" behindDoc="0" locked="0" layoutInCell="1" allowOverlap="1">
                <wp:simplePos x="0" y="0"/>
                <wp:positionH relativeFrom="page">
                  <wp:posOffset>712470</wp:posOffset>
                </wp:positionH>
                <wp:positionV relativeFrom="paragraph">
                  <wp:posOffset>787400</wp:posOffset>
                </wp:positionV>
                <wp:extent cx="1673225" cy="1943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3225" cy="19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100000000000001pt;margin-top:62.pt;width:131.75pt;height:15.300000000000001pt;z-index:-125829369;mso-wrap-distance-left:9.pt;mso-wrap-distance-right:9.pt;mso-wrap-distance-bottom:45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0390" distB="635" distL="116840" distR="596265" simplePos="0" relativeHeight="125829386" behindDoc="0" locked="0" layoutInCell="1" allowOverlap="1">
                <wp:simplePos x="0" y="0"/>
                <wp:positionH relativeFrom="page">
                  <wp:posOffset>715010</wp:posOffset>
                </wp:positionH>
                <wp:positionV relativeFrom="paragraph">
                  <wp:posOffset>1367790</wp:posOffset>
                </wp:positionV>
                <wp:extent cx="1188720" cy="18732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300000000000004pt;margin-top:107.7pt;width:93.600000000000009pt;height:14.75pt;z-index:-125829367;mso-wrap-distance-left:9.2000000000000011pt;mso-wrap-distance-top:45.700000000000003pt;mso-wrap-distance-right:46.950000000000003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CharStyle1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10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4"/>
          <w:sz w:val="22"/>
          <w:szCs w:val="22"/>
        </w:rPr>
        <w:t>Исп.Криворучкин Н.С. тел.(319)2110144</w:t>
      </w:r>
    </w:p>
    <w:sectPr>
      <w:footnotePr>
        <w:pos w:val="pageBottom"/>
        <w:numFmt w:val="decimal"/>
        <w:numRestart w:val="continuous"/>
      </w:footnotePr>
      <w:pgSz w:w="11900" w:h="16840"/>
      <w:pgMar w:top="1137" w:right="417" w:bottom="710" w:left="1065" w:header="709" w:footer="28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B8F"/>
      <w:sz w:val="30"/>
      <w:szCs w:val="30"/>
      <w:u w:val="none"/>
      <w:lang w:val="en-US" w:eastAsia="en-US"/>
    </w:rPr>
  </w:style>
  <w:style w:type="character" w:customStyle="1" w:styleId="CharStyle12">
    <w:name w:val="Body text (5)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B8F"/>
      <w:sz w:val="30"/>
      <w:szCs w:val="30"/>
      <w:u w:val="none"/>
      <w:lang w:val="en-US" w:eastAsia="en-US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6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