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1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2,09.2025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ИБ/18436/2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  <w:br/>
        <w:t>052/06/105-2286/2025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Государственное казенное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Нижегородской области «Управление по делам гражданской обороны, чрезвычайным ситуациям и пожарной безопасности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Нижегородской области»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603093, Нижегородская область, город Нижний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Новгород, Фруктовая ул., д. 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fldChar w:fldCharType="begin"/>
      </w:r>
      <w:r>
        <w:rPr/>
        <w:instrText> HYPERLINK "mailto:kanc@ugochs52.ru"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kanc@ugochs52.ru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 xml:space="preserve">ООО "ТОРГОВЫЙ ДОМ "ТЕХИНКОМ" </w:t>
      </w:r>
      <w:r>
        <w:fldChar w:fldCharType="begin"/>
      </w:r>
      <w:r>
        <w:rPr/>
        <w:instrText> HYPERLINK "mailto:tdtik@mroteh.ru"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tdtik@mroteh.ru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Государственное казенное учреждение Нижегородской области "Центр размещения заказа Нижегородской области"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 xml:space="preserve">603082, город Нижний Новгород, Кремль, корпус 4 </w:t>
      </w:r>
      <w:r>
        <w:fldChar w:fldCharType="begin"/>
      </w:r>
      <w:r>
        <w:rPr/>
        <w:instrText> HYPERLINK "mailto:crzno@mail.ru"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crzno@mail.ru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 xml:space="preserve">, </w:t>
      </w:r>
      <w:r>
        <w:fldChar w:fldCharType="begin"/>
      </w:r>
      <w:r>
        <w:rPr/>
        <w:instrText> HYPERLINK "mailto:koe@konkurs.kreml.nnov.ru"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koe@konkurs.kreml.nnov.ru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b/>
          <w:bCs/>
          <w:sz w:val="22"/>
          <w:szCs w:val="22"/>
        </w:rPr>
        <w:t>ЭТП Газпромбанк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47" w:bottom="1395" w:left="1135" w:header="0" w:footer="3" w:gutter="0"/>
          <w:cols w:num="2" w:space="720" w:equalWidth="0">
            <w:col w:w="4320" w:space="946"/>
            <w:col w:w="4853"/>
          </w:cols>
          <w:noEndnote/>
          <w:rtlGutter w:val="0"/>
          <w:docGrid w:linePitch="360"/>
        </w:sectPr>
      </w:pPr>
      <w:r>
        <w:rPr>
          <w:rStyle w:val="CharStyle13"/>
          <w:sz w:val="22"/>
          <w:szCs w:val="22"/>
        </w:rPr>
        <w:t xml:space="preserve">117342, город Москва, Миклухо-Маклая улица, дом 40, подвал помещение </w:t>
      </w:r>
      <w:r>
        <w:rPr>
          <w:rStyle w:val="CharStyle13"/>
          <w:sz w:val="22"/>
          <w:szCs w:val="22"/>
          <w:lang w:val="en-US" w:eastAsia="en-US"/>
        </w:rPr>
        <w:t xml:space="preserve">I </w:t>
      </w:r>
      <w:r>
        <w:rPr>
          <w:rStyle w:val="CharStyle13"/>
          <w:sz w:val="22"/>
          <w:szCs w:val="22"/>
        </w:rPr>
        <w:t xml:space="preserve">ком 25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info@etpgpb.ru</w:t>
      </w:r>
      <w:r>
        <w:fldChar w:fldCharType="end"/>
      </w:r>
      <w:r>
        <w:rPr>
          <w:rStyle w:val="CharStyle13"/>
          <w:sz w:val="22"/>
          <w:szCs w:val="22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3"/>
          <w:sz w:val="22"/>
          <w:szCs w:val="22"/>
          <w:lang w:val="en-US" w:eastAsia="en-US"/>
        </w:rPr>
        <w:t>marketing@etpgpb.ru</w:t>
      </w:r>
      <w:r>
        <w:fldChar w:fldCharType="end"/>
      </w:r>
    </w:p>
    <w:p>
      <w:pPr>
        <w:widowControl w:val="0"/>
        <w:spacing w:line="156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0" w:right="0" w:bottom="135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  <w:br/>
        <w:t>№ 052/06/105-2286/2025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359535" cy="21971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28 августа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1.pt;width:107.05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28 августа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2" w:val="left"/>
        </w:tabs>
        <w:bidi w:val="0"/>
        <w:spacing w:before="0" w:after="0" w:line="240" w:lineRule="auto"/>
        <w:ind w:left="0" w:right="0" w:firstLine="34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12520" cy="74358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743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Войновой М.К.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Смолиной В.В.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87.600000000000009pt;height:58.55000000000000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Войновой М.К.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Смолиной В.В.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2" w:val="left"/>
        </w:tabs>
        <w:bidi w:val="0"/>
        <w:spacing w:before="0" w:after="0" w:line="240" w:lineRule="auto"/>
        <w:ind w:left="520" w:right="0" w:hanging="180"/>
        <w:jc w:val="both"/>
      </w:pPr>
      <w:r>
        <w:rPr>
          <w:rStyle w:val="CharStyle13"/>
        </w:rPr>
        <w:t>члена комиссии, ведущего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22" w:val="left"/>
        </w:tabs>
        <w:bidi w:val="0"/>
        <w:spacing w:before="0" w:after="340" w:line="240" w:lineRule="auto"/>
        <w:ind w:left="520" w:right="0" w:hanging="180"/>
        <w:jc w:val="both"/>
      </w:pPr>
      <w:r>
        <w:rPr>
          <w:rStyle w:val="CharStyle13"/>
        </w:rPr>
        <w:t>члена комиссии, специалиста 1 разряда отдела контроля государственных и муниципальных закупок,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</w:rPr>
        <w:t>при участии посредством видео-конференц-связи:</w:t>
      </w:r>
    </w:p>
    <w:tbl>
      <w:tblPr>
        <w:tblOverlap w:val="never"/>
        <w:jc w:val="center"/>
        <w:tblLayout w:type="fixed"/>
      </w:tblPr>
      <w:tblGrid>
        <w:gridCol w:w="2280"/>
        <w:gridCol w:w="7968"/>
      </w:tblGrid>
      <w:tr>
        <w:trPr>
          <w:trHeight w:val="54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- Лесниковой М.В.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hanging="220"/>
              <w:jc w:val="both"/>
            </w:pPr>
            <w:r>
              <w:rPr>
                <w:rStyle w:val="CharStyle24"/>
              </w:rPr>
              <w:t>- представителя ГКУ НО «Центр размещения заказа Нижегородской области» (по доверенности №4 от 09.01.2025),</w:t>
            </w:r>
          </w:p>
        </w:tc>
      </w:tr>
      <w:tr>
        <w:trPr>
          <w:trHeight w:val="83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- Кузьменко М.В.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rStyle w:val="CharStyle24"/>
              </w:rPr>
              <w:t>представителя ГКУ НО «Управление по делам гражданской обороны, чрезвычайным ситуациям и пожарной безопасности Нижегородской области» (по доверенности №323 от 12.12.2024),</w:t>
            </w:r>
          </w:p>
        </w:tc>
      </w:tr>
      <w:tr>
        <w:trPr>
          <w:trHeight w:val="82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- Рахимкуловой Н.Ю.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rStyle w:val="CharStyle24"/>
              </w:rPr>
              <w:t>представителя ГКУ НО «Управление по делам гражданской обороны, чрезвычайным ситуациям и пожарной безопасности Нижегородской области» (по доверенности №359 от 21.04.2025),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>рассмотрев посредством видеоконферецсвязи жалобу общество с ограниченной ответственностью «Торговый Дом «Техником» (далее также – общество, заявитель) о нарушении Государственного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298575" cy="41465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 xml:space="preserve">казенного учреждения Нижегородской области «Управление по делам гражданской обороны, чрезвычайным ситуациям и пожарной безопасности Нижегородской области»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 xml:space="preserve">Заказчик) и Государственного казенного учреждения Нижегородской области «Центр размещения заказа Нижегородской области» при определении поставщика путем проведения электронного аукциона на право заключения контракта по объекту закупки: «Поставка цистерны прицепной для питьевой воды», номер извещения </w:t>
      </w:r>
      <w:r>
        <w:rPr>
          <w:rStyle w:val="CharStyle13"/>
          <w:lang w:val="en-US" w:eastAsia="en-US"/>
        </w:rPr>
        <w:t>0832200006625000837,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о нарушении при определении поставщика путем проведения электронного аукциона на право заключения контракта по объекту закупки: «Поставка цистерны прицепной для питьевой воды», номер извещения </w:t>
      </w:r>
      <w:r>
        <w:rPr>
          <w:rStyle w:val="CharStyle13"/>
          <w:lang w:val="en-US" w:eastAsia="en-US"/>
        </w:rPr>
        <w:t>0832200006625000837.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Представители уполномоченного органа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08.08.2025 </w:t>
      </w:r>
      <w:r>
        <w:rPr>
          <w:rStyle w:val="CharStyle13"/>
        </w:rPr>
        <w:t xml:space="preserve">в единой информационной системе и на сайте электронной площадки -ЭТП Газпромбанк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6 500 000,00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По мнению заявителя, аукционная комиссия неправомерно не отклонила заявки участков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>настоящей статьи, присваиваются в порядке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3"/>
          <w:lang w:val="en-US" w:eastAsia="en-US"/>
        </w:rPr>
        <w:t xml:space="preserve">1, 2, 4 - 7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3"/>
          <w:lang w:val="en-US" w:eastAsia="en-US"/>
        </w:rPr>
        <w:t xml:space="preserve">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2018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предусмотренных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выявления недостоверной информации, содержащейся в заявке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20.08.2025 </w:t>
      </w:r>
      <w:r>
        <w:rPr>
          <w:rStyle w:val="CharStyle13"/>
        </w:rPr>
        <w:t>№ИЭА1, все заявки признаны соответствующими требованиям.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Нижегородского УФАС России установила, что в извещении </w:t>
      </w:r>
      <w:r>
        <w:rPr>
          <w:rStyle w:val="CharStyle13"/>
          <w:lang w:val="en-US" w:eastAsia="en-US"/>
        </w:rPr>
        <w:t xml:space="preserve">№0832200006625000837 </w:t>
      </w:r>
      <w:r>
        <w:rPr>
          <w:rStyle w:val="CharStyle13"/>
        </w:rPr>
        <w:t xml:space="preserve">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 установлен запрет закупок товаров, происходящих из иностранных государств, выполняемых работ, оказываемых услуг иностранными лицами на основании постановления Правительства РФ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>установил, что 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3"/>
          <w:lang w:val="en-US" w:eastAsia="en-US"/>
        </w:rPr>
        <w:t xml:space="preserve">17.1 </w:t>
      </w:r>
      <w:r>
        <w:rPr>
          <w:rStyle w:val="CharStyle13"/>
        </w:rPr>
        <w:t xml:space="preserve">Федерального закона «О промышленной политике в Российской Федерации», содержащей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17.7.2015 № 719 </w:t>
      </w:r>
      <w:r>
        <w:rPr>
          <w:rStyle w:val="CharStyle13"/>
        </w:rPr>
        <w:t xml:space="preserve">«О подтверждении производства российской промышленной продукции»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от </w:t>
      </w:r>
      <w:r>
        <w:rPr>
          <w:rStyle w:val="CharStyle13"/>
          <w:lang w:val="en-US" w:eastAsia="en-US"/>
        </w:rPr>
        <w:t xml:space="preserve">17.7.2015 № 719) </w:t>
      </w:r>
      <w:r>
        <w:rPr>
          <w:rStyle w:val="CharStyle13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от </w:t>
      </w:r>
      <w:r>
        <w:rPr>
          <w:rStyle w:val="CharStyle13"/>
          <w:lang w:val="en-US" w:eastAsia="en-US"/>
        </w:rPr>
        <w:t xml:space="preserve">17.7.2015 № 719 </w:t>
      </w:r>
      <w:r>
        <w:rPr>
          <w:rStyle w:val="CharStyle13"/>
        </w:rPr>
        <w:t>для целей осуществления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Подтверждением происхождения товара из государств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членов Евразийского экономического союза, за исключением Российской Федерации, является: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евразийский реестр промышленных товаров), содержащей в том числе 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№1875 </w:t>
      </w:r>
      <w:r>
        <w:rPr>
          <w:rStyle w:val="CharStyle13"/>
        </w:rPr>
        <w:t xml:space="preserve">содержит указание на необходимость наличия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719 </w:t>
      </w:r>
      <w:r>
        <w:rPr>
          <w:rStyle w:val="CharStyle13"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N 719 </w:t>
      </w:r>
      <w:r>
        <w:rPr>
          <w:rStyle w:val="CharStyle13"/>
        </w:rPr>
        <w:t>"О подтверждении производства российской промышленной продукции" для целей осуществления закупок для отдельных товаров.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Нижегородского УФАС России установила, что в составе заявок участников закупки </w:t>
      </w:r>
      <w:r>
        <w:rPr>
          <w:rStyle w:val="CharStyle13"/>
          <w:lang w:val="en-US" w:eastAsia="en-US"/>
        </w:rPr>
        <w:t xml:space="preserve">№0832200006625000837 </w:t>
      </w:r>
      <w:r>
        <w:rPr>
          <w:rStyle w:val="CharStyle13"/>
        </w:rPr>
        <w:t xml:space="preserve">имеются номера реестровой записи товаров Российской промышленности для подтверждения страны происхождения товара в рамках Постановления </w:t>
      </w:r>
      <w:r>
        <w:rPr>
          <w:rStyle w:val="CharStyle13"/>
          <w:lang w:val="en-US" w:eastAsia="en-US"/>
        </w:rPr>
        <w:t>№1875.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Следовательно, в действиях аукционной комиссии отсутствуют 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Довод заявителя жалобы, что ООО «ТД «ТЕХИНКОМ» является единственным дилером ООО «КОМПЛЕКТКАПИТАЛ» и уполномочен на участие в электронном аукционе признан комиссией необоснованным, ввиду отсутствия в Законе о контрактной системе основания для отклонения заявки по данному обстоятельству.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На основании изложенного, жалоба заявителя признается Комиссией Нижегородского УФАС России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 xml:space="preserve">Признать жалобу общества с ограниченной ответственностью «Торговый Дом «Техником» о нарушении Государственного казенного учреждения Нижегородской области «Управление по делам гражданской обороны, чрезвычайным ситуациям и пожарной безопасности Нижегородской области» и Государственного казенного учреждения Нижегородской области «Центр размещения заказа Нижегородской области» при определении поставщика путем проведения электронного аукциона на право заключения контракта по объекту закупки: «Поставка цистерны прицепной для питьевой воды», номер извещения </w:t>
      </w:r>
      <w:r>
        <w:rPr>
          <w:rStyle w:val="CharStyle13"/>
          <w:lang w:val="en-US" w:eastAsia="en-US"/>
        </w:rPr>
        <w:t xml:space="preserve">0832200006625000837,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0" w:right="535" w:bottom="1357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1917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304800</wp:posOffset>
                </wp:positionV>
                <wp:extent cx="182245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4.pt;width:143.5pt;height:19.699999999999999pt;z-index:-125829370;mso-wrap-distance-left:0;mso-wrap-distance-top:24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7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2590" distB="0" distL="0" distR="1816735" simplePos="0" relativeHeight="125829385" behindDoc="0" locked="0" layoutInCell="1" allowOverlap="1">
            <wp:simplePos x="0" y="0"/>
            <wp:positionH relativeFrom="page">
              <wp:posOffset>3147695</wp:posOffset>
            </wp:positionH>
            <wp:positionV relativeFrom="paragraph">
              <wp:posOffset>402590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3537585</wp:posOffset>
                </wp:positionH>
                <wp:positionV relativeFrom="paragraph">
                  <wp:posOffset>463550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8.55000000000001pt;margin-top:36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91770" distL="0" distR="0" simplePos="0" relativeHeight="125829386" behindDoc="0" locked="0" layoutInCell="1" allowOverlap="1">
                <wp:simplePos x="0" y="0"/>
                <wp:positionH relativeFrom="page">
                  <wp:posOffset>6186170</wp:posOffset>
                </wp:positionH>
                <wp:positionV relativeFrom="paragraph">
                  <wp:posOffset>304800</wp:posOffset>
                </wp:positionV>
                <wp:extent cx="102743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rStyle w:val="CharStyle17"/>
                              </w:rPr>
                              <w:t>И.В. Баранов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10000000000002pt;margin-top:24.pt;width:80.900000000000006pt;height:19.699999999999999pt;z-index:-125829367;mso-wrap-distance-left:0;mso-wrap-distance-top:24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rStyle w:val="CharStyle17"/>
                        </w:rPr>
                        <w:t>И.В. Баранов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Кому </w:t>
      </w:r>
      <w:r>
        <w:rPr>
          <w:rStyle w:val="CharStyle28"/>
          <w:color w:val="565656"/>
        </w:rPr>
        <w:t xml:space="preserve">выдан: </w:t>
      </w:r>
      <w:r>
        <w:rPr>
          <w:rStyle w:val="CharStyle28"/>
          <w:color w:val="000000"/>
        </w:rPr>
        <w:t>Баранов Илья Валерьевич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00823DDF3459882163B2B99BFD4E606E6E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Действителен с 11.07.2024 </w:t>
      </w:r>
      <w:r>
        <w:rPr>
          <w:rStyle w:val="CharStyle28"/>
          <w:color w:val="565656"/>
        </w:rPr>
        <w:t>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66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2405" distL="0" distR="0" simplePos="0" relativeHeight="12582938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7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75pt;margin-top:7.pt;width:105.85000000000001pt;height:19.900000000000002pt;z-index:-125829365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7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90" behindDoc="0" locked="0" layoutInCell="1" allowOverlap="1">
            <wp:simplePos x="0" y="0"/>
            <wp:positionH relativeFrom="page">
              <wp:posOffset>3147695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3537585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8.55000000000001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2405" distL="0" distR="0" simplePos="0" relativeHeight="125829391" behindDoc="0" locked="0" layoutInCell="1" allowOverlap="1">
                <wp:simplePos x="0" y="0"/>
                <wp:positionH relativeFrom="page">
                  <wp:posOffset>6170930</wp:posOffset>
                </wp:positionH>
                <wp:positionV relativeFrom="paragraph">
                  <wp:posOffset>88900</wp:posOffset>
                </wp:positionV>
                <wp:extent cx="104521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rStyle w:val="CharStyle17"/>
                              </w:rPr>
                              <w:t>М.К.Войнова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5.90000000000003pt;margin-top:7.pt;width:82.299999999999997pt;height:19.900000000000002pt;z-index:-125829362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rStyle w:val="CharStyle17"/>
                        </w:rPr>
                        <w:t>М.К.Войнова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Войнова Мария Константиновна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00F91F1</w:t>
      </w:r>
      <w:r>
        <w:rPr>
          <w:rStyle w:val="CharStyle28"/>
        </w:rPr>
        <w:t>С83ЕВС291</w:t>
      </w:r>
      <w:r>
        <w:rPr>
          <w:rStyle w:val="CharStyle28"/>
          <w:lang w:val="en-US" w:eastAsia="en-US"/>
        </w:rPr>
        <w:t>BD8EBF105EB4BA753</w:t>
      </w:r>
      <w:r>
        <w:rPr>
          <w:rStyle w:val="CharStyle28"/>
          <w:lang w:val="en-US" w:eastAsia="en-US"/>
        </w:rPr>
        <w:t>Z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8"/>
        </w:rPr>
        <w:t xml:space="preserve">Действителен с 17.06.2025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10.09.2026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70" w:line="240" w:lineRule="auto"/>
        <w:ind w:left="1220" w:right="0" w:firstLine="0"/>
        <w:jc w:val="left"/>
      </w:pPr>
      <w:r>
        <w:drawing>
          <wp:anchor distT="0" distB="0" distL="114300" distR="1931035" simplePos="0" relativeHeight="125829393" behindDoc="0" locked="0" layoutInCell="1" allowOverlap="1">
            <wp:simplePos x="0" y="0"/>
            <wp:positionH relativeFrom="page">
              <wp:posOffset>3147695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3537585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8.55000000000001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17"/>
        </w:rPr>
        <w:t>В.В. Смолина</w:t>
      </w:r>
      <w:bookmarkEnd w:id="10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Смолина Виктория Викторовна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6A6D38099227BA9548AD878BAD370CD0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980" w:line="240" w:lineRule="auto"/>
        <w:ind w:right="0" w:firstLine="0"/>
        <w:jc w:val="left"/>
      </w:pPr>
      <w:r>
        <w:rPr>
          <w:rStyle w:val="CharStyle28"/>
        </w:rPr>
        <w:t xml:space="preserve">Действителен с 07.05.2025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31.07.2026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10161270</wp:posOffset>
              </wp:positionV>
              <wp:extent cx="713105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2025-21247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600000000000001pt;margin-top:800.10000000000002pt;width:56.149999999999999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2025-21247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10031730</wp:posOffset>
              </wp:positionV>
              <wp:extent cx="71310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2025-21247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89.89999999999998pt;width:56.149999999999999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2025-21247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718820</wp:posOffset>
              </wp:positionV>
              <wp:extent cx="76200" cy="673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56.600000000000001pt;width:6.pt;height:5.2999999999999998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45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