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line="1" w:lineRule="exact"/>
      </w:pPr>
      <w:r>
        <w:drawing>
          <wp:anchor distT="0" distB="1840865" distL="1096010" distR="1056005" simplePos="0" relativeHeight="125829378" behindDoc="0" locked="0" layoutInCell="1" allowOverlap="1">
            <wp:simplePos x="0" y="0"/>
            <wp:positionH relativeFrom="page">
              <wp:posOffset>1784985</wp:posOffset>
            </wp:positionH>
            <wp:positionV relativeFrom="paragraph">
              <wp:posOffset>12700</wp:posOffset>
            </wp:positionV>
            <wp:extent cx="511810" cy="609600"/>
            <wp:wrapSquare wrapText="right"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11810" cy="60960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609600" distB="0" distL="114300" distR="114300" simplePos="0" relativeHeight="125829379" behindDoc="0" locked="0" layoutInCell="1" allowOverlap="1">
                <wp:simplePos x="0" y="0"/>
                <wp:positionH relativeFrom="page">
                  <wp:posOffset>803275</wp:posOffset>
                </wp:positionH>
                <wp:positionV relativeFrom="paragraph">
                  <wp:posOffset>622300</wp:posOffset>
                </wp:positionV>
                <wp:extent cx="2435225" cy="1837690"/>
                <wp:wrapSquare wrapText="right"/>
                <wp:docPr id="3" name="Shape 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435225" cy="18376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200" w:line="259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>ФЕДЕРАЛЬНАЯ</w:t>
                              <w:br/>
                              <w:t>АНТИМОНОПОЛЬНАЯ СЛУЖБА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20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>УПРАВЛЕНИЕ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20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>по г. Москве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10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3"/>
                              </w:rPr>
                              <w:t>Мясницкий проезд, д.4, стр. 1</w:t>
                              <w:br/>
                              <w:t>107078, г. Москва,</w:t>
                              <w:br/>
                              <w:t>тел. (495) 784-75-05, факс (495) 607-49-29</w:t>
                              <w:br/>
                              <w:t xml:space="preserve">факс (495) 607-42-92, </w:t>
                            </w:r>
                            <w:r>
                              <w:rPr>
                                <w:rStyle w:val="CharStyle3"/>
                                <w:u w:val="single"/>
                                <w:lang w:val="en-US" w:eastAsia="en-US"/>
                              </w:rPr>
                              <w:t xml:space="preserve">e-mail: </w:t>
                            </w:r>
                            <w:r>
                              <w:fldChar w:fldCharType="begin"/>
                            </w:r>
                            <w:r>
                              <w:rPr/>
                              <w:instrText> HYPERLINK "mailto:to77@fas.gov.ru" </w:instrText>
                            </w:r>
                            <w:r>
                              <w:fldChar w:fldCharType="separate"/>
                            </w:r>
                            <w:r>
                              <w:rPr>
                                <w:rStyle w:val="CharStyle3"/>
                                <w:u w:val="single"/>
                                <w:lang w:val="en-US" w:eastAsia="en-US"/>
                              </w:rPr>
                              <w:t>to77@fas.gov.ru</w:t>
                            </w:r>
                            <w:r>
                              <w:fldChar w:fldCharType="end"/>
                            </w:r>
                          </w:p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pos="1838" w:val="left"/>
                              </w:tabs>
                              <w:bidi w:val="0"/>
                              <w:spacing w:before="0" w:after="200" w:line="240" w:lineRule="auto"/>
                              <w:ind w:left="0" w:right="0" w:firstLine="0"/>
                              <w:jc w:val="left"/>
                              <w:rPr>
                                <w:sz w:val="30"/>
                                <w:szCs w:val="30"/>
                              </w:rPr>
                            </w:pPr>
                            <w:r>
                              <w:fldChar w:fldCharType="begin"/>
                            </w:r>
                            <w:r>
                              <w:rPr/>
                              <w:instrText> HYPERLINK "file://f207ca94-a13c-4ba0-b72d-f018c9eed8f1/" </w:instrText>
                            </w:r>
                            <w:r>
                              <w:fldChar w:fldCharType="separate"/>
                            </w:r>
                            <w:r>
                              <w:rPr>
                                <w:rStyle w:val="CharStyle7"/>
                                <w:sz w:val="30"/>
                                <w:szCs w:val="30"/>
                              </w:rPr>
                              <w:t>02.09.2025</w:t>
                              <w:tab/>
                            </w:r>
                            <w:r>
                              <w:fldChar w:fldCharType="end"/>
                            </w:r>
                            <w:r>
                              <w:rPr>
                                <w:rStyle w:val="CharStyle7"/>
                                <w:sz w:val="30"/>
                                <w:szCs w:val="30"/>
                              </w:rPr>
                              <w:t>№ 35240/25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9" type="#_x0000_t202" style="position:absolute;margin-left:63.25pt;margin-top:49.pt;width:191.75pt;height:144.70000000000002pt;z-index:-125829374;mso-wrap-distance-left:9.pt;mso-wrap-distance-top:48.pt;mso-wrap-distance-right:9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200" w:line="259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>ФЕДЕРАЛЬНАЯ</w:t>
                        <w:br/>
                        <w:t>АНТИМОНОПОЛЬНАЯ СЛУЖБА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200" w:line="240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>УПРАВЛЕНИЕ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200" w:line="240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>по г. Москве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100" w:line="240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3"/>
                        </w:rPr>
                        <w:t>Мясницкий проезд, д.4, стр. 1</w:t>
                        <w:br/>
                        <w:t>107078, г. Москва,</w:t>
                        <w:br/>
                        <w:t>тел. (495) 784-75-05, факс (495) 607-49-29</w:t>
                        <w:br/>
                        <w:t xml:space="preserve">факс (495) 607-42-92, </w:t>
                      </w:r>
                      <w:r>
                        <w:rPr>
                          <w:rStyle w:val="CharStyle3"/>
                          <w:u w:val="single"/>
                          <w:lang w:val="en-US" w:eastAsia="en-US"/>
                        </w:rPr>
                        <w:t xml:space="preserve">e-mail: </w:t>
                      </w:r>
                      <w:r>
                        <w:fldChar w:fldCharType="begin"/>
                      </w:r>
                      <w:r>
                        <w:rPr/>
                        <w:instrText> HYPERLINK "mailto:to77@fas.gov.ru" </w:instrText>
                      </w:r>
                      <w:r>
                        <w:fldChar w:fldCharType="separate"/>
                      </w:r>
                      <w:r>
                        <w:rPr>
                          <w:rStyle w:val="CharStyle3"/>
                          <w:u w:val="single"/>
                          <w:lang w:val="en-US" w:eastAsia="en-US"/>
                        </w:rPr>
                        <w:t>to77@fas.gov.ru</w:t>
                      </w:r>
                      <w:r>
                        <w:fldChar w:fldCharType="end"/>
                      </w:r>
                    </w:p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pos="1838" w:val="left"/>
                        </w:tabs>
                        <w:bidi w:val="0"/>
                        <w:spacing w:before="0" w:after="200" w:line="240" w:lineRule="auto"/>
                        <w:ind w:left="0" w:right="0" w:firstLine="0"/>
                        <w:jc w:val="left"/>
                        <w:rPr>
                          <w:sz w:val="30"/>
                          <w:szCs w:val="30"/>
                        </w:rPr>
                      </w:pPr>
                      <w:r>
                        <w:fldChar w:fldCharType="begin"/>
                      </w:r>
                      <w:r>
                        <w:rPr/>
                        <w:instrText> HYPERLINK "file://f207ca94-a13c-4ba0-b72d-f018c9eed8f1/" </w:instrText>
                      </w:r>
                      <w:r>
                        <w:fldChar w:fldCharType="separate"/>
                      </w:r>
                      <w:r>
                        <w:rPr>
                          <w:rStyle w:val="CharStyle7"/>
                          <w:sz w:val="30"/>
                          <w:szCs w:val="30"/>
                        </w:rPr>
                        <w:t>02.09.2025</w:t>
                        <w:tab/>
                      </w:r>
                      <w:r>
                        <w:fldChar w:fldCharType="end"/>
                      </w:r>
                      <w:r>
                        <w:rPr>
                          <w:rStyle w:val="CharStyle7"/>
                          <w:sz w:val="30"/>
                          <w:szCs w:val="30"/>
                        </w:rPr>
                        <w:t>№ 35240/25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480" w:lineRule="auto"/>
        <w:ind w:left="1140" w:right="0" w:firstLine="0"/>
        <w:jc w:val="both"/>
      </w:pPr>
      <w:r>
        <w:rPr>
          <w:rStyle w:val="CharStyle7"/>
        </w:rPr>
        <w:t xml:space="preserve">Финансовый университет </w:t>
      </w:r>
      <w:r>
        <w:fldChar w:fldCharType="begin"/>
      </w:r>
      <w:r>
        <w:rPr/>
        <w:instrText> HYPERLINK "mailto:eabuzanova@fa.ru" </w:instrText>
      </w:r>
      <w:r>
        <w:fldChar w:fldCharType="separate"/>
      </w:r>
      <w:r>
        <w:rPr>
          <w:rStyle w:val="CharStyle7"/>
          <w:lang w:val="en-US" w:eastAsia="en-US"/>
        </w:rPr>
        <w:t>eabuzanova@fa.ru</w:t>
      </w:r>
      <w:r>
        <w:fldChar w:fldCharType="end"/>
      </w:r>
      <w:r>
        <w:rPr>
          <w:rStyle w:val="CharStyle7"/>
          <w:lang w:val="en-US" w:eastAsia="en-US"/>
        </w:rPr>
        <w:t xml:space="preserve"> </w:t>
      </w:r>
      <w:r>
        <w:rPr>
          <w:rStyle w:val="CharStyle7"/>
        </w:rPr>
        <w:t>ИП Валенкова Л.Н.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340" w:line="480" w:lineRule="auto"/>
        <w:ind w:left="1140" w:right="0" w:firstLine="0"/>
        <w:jc w:val="both"/>
      </w:pPr>
      <w:r>
        <w:fldChar w:fldCharType="begin"/>
      </w:r>
      <w:r>
        <w:rPr/>
        <w:instrText> HYPERLINK "mailto:WLara2112@yandex.ru" </w:instrText>
      </w:r>
      <w:r>
        <w:fldChar w:fldCharType="separate"/>
      </w:r>
      <w:r>
        <w:rPr>
          <w:rStyle w:val="CharStyle7"/>
          <w:lang w:val="en-US" w:eastAsia="en-US"/>
        </w:rPr>
        <w:t>WLara2112@yandex.ru</w:t>
      </w:r>
      <w:r>
        <w:fldChar w:fldCharType="end"/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Style w:val="CharStyle7"/>
          <w:b/>
          <w:bCs/>
        </w:rPr>
        <w:t>РЕШЕНИЕ</w:t>
      </w:r>
    </w:p>
    <w:p>
      <w:pPr>
        <w:pStyle w:val="Style6"/>
        <w:keepNext w:val="0"/>
        <w:keepLines w:val="0"/>
        <w:widowControl w:val="0"/>
        <w:shd w:val="clear" w:color="auto" w:fill="auto"/>
        <w:tabs>
          <w:tab w:pos="8962" w:val="left"/>
        </w:tabs>
        <w:bidi w:val="0"/>
        <w:spacing w:before="0" w:after="0" w:line="240" w:lineRule="auto"/>
        <w:ind w:left="0" w:right="0" w:firstLine="0"/>
        <w:jc w:val="center"/>
      </w:pPr>
      <w:r>
        <w:rPr>
          <w:rStyle w:val="CharStyle7"/>
          <w:b/>
          <w:bCs/>
        </w:rPr>
        <w:t xml:space="preserve">по делу </w:t>
      </w:r>
      <w:r>
        <w:rPr>
          <w:rStyle w:val="CharStyle7"/>
          <w:b/>
          <w:bCs/>
          <w:lang w:val="en-US" w:eastAsia="en-US"/>
        </w:rPr>
        <w:t xml:space="preserve">№ 077/06/106-10846/2025 </w:t>
      </w:r>
      <w:r>
        <w:rPr>
          <w:rStyle w:val="CharStyle7"/>
          <w:b/>
          <w:bCs/>
        </w:rPr>
        <w:t>о нарушении</w:t>
        <w:br/>
        <w:t>законодательства о контрактной системе</w:t>
        <w:br/>
      </w:r>
      <w:r>
        <w:rPr>
          <w:rStyle w:val="CharStyle7"/>
          <w:b/>
          <w:bCs/>
          <w:lang w:val="en-US" w:eastAsia="en-US"/>
        </w:rPr>
        <w:t>28.08.2025</w:t>
        <w:tab/>
      </w:r>
      <w:r>
        <w:rPr>
          <w:rStyle w:val="CharStyle7"/>
          <w:b/>
          <w:bCs/>
        </w:rPr>
        <w:t>г. Москва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 xml:space="preserve">Комиссия по контролю в сфере закупок товаров, работ, услуг Управления Федеральной антимонопольной службы по г. Москве (далее </w:t>
      </w:r>
      <w:r>
        <w:rPr>
          <w:rStyle w:val="CharStyle7"/>
          <w:lang w:val="en-US" w:eastAsia="en-US"/>
        </w:rPr>
        <w:t xml:space="preserve">– </w:t>
      </w:r>
      <w:r>
        <w:rPr>
          <w:rStyle w:val="CharStyle7"/>
        </w:rPr>
        <w:t>Комиссия Управления) в составе: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 xml:space="preserve">Председательствующего </w:t>
      </w:r>
      <w:r>
        <w:rPr>
          <w:rStyle w:val="CharStyle7"/>
          <w:lang w:val="en-US" w:eastAsia="en-US"/>
        </w:rPr>
        <w:t xml:space="preserve">– </w:t>
      </w:r>
      <w:r>
        <w:rPr>
          <w:rStyle w:val="CharStyle7"/>
        </w:rPr>
        <w:t>заместителя начальника отдела обжалования государственных закупок Д.С. Грешневой,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>Члены Комиссии: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>Специалиста-эксперта отдела обжалования государственных закупок А.А. Леоновой,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>Специалиста-эксперта отдела обжалования государственных закупок А.И. Рахматуллаева,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>рассмотрение жалобы проводилось дистанционно (посредством видео- конференц связи),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>при участии представителей: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 xml:space="preserve">Финансового университета: Е.В. Шевченко (по доверенности </w:t>
      </w:r>
      <w:r>
        <w:rPr>
          <w:rStyle w:val="CharStyle7"/>
          <w:lang w:val="en-US" w:eastAsia="en-US"/>
        </w:rPr>
        <w:t xml:space="preserve">№ 123-2025/48 </w:t>
      </w:r>
      <w:r>
        <w:rPr>
          <w:rStyle w:val="CharStyle7"/>
        </w:rPr>
        <w:t xml:space="preserve">от </w:t>
      </w:r>
      <w:r>
        <w:rPr>
          <w:rStyle w:val="CharStyle7"/>
          <w:lang w:val="en-US" w:eastAsia="en-US"/>
        </w:rPr>
        <w:t>21.04.2025),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 xml:space="preserve">ИП Валенкова Л.Н.: Д.В. Родькиной (по доверенности </w:t>
      </w:r>
      <w:r>
        <w:rPr>
          <w:rStyle w:val="CharStyle7"/>
          <w:lang w:val="en-US" w:eastAsia="en-US"/>
        </w:rPr>
        <w:t xml:space="preserve">№ </w:t>
      </w:r>
      <w:r>
        <w:rPr>
          <w:rStyle w:val="CharStyle7"/>
        </w:rPr>
        <w:t xml:space="preserve">Д-5 от </w:t>
      </w:r>
      <w:r>
        <w:rPr>
          <w:rStyle w:val="CharStyle7"/>
          <w:lang w:val="en-US" w:eastAsia="en-US"/>
        </w:rPr>
        <w:t>04.06.2025),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>в присутствии слушателя: С.М. Гаврилова,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700"/>
        <w:jc w:val="both"/>
      </w:pPr>
      <w:r>
        <w:rPr>
          <w:rStyle w:val="CharStyle7"/>
        </w:rPr>
        <w:t xml:space="preserve">рассмотрев жалобу ИП Валенкова Л.Н. (далее </w:t>
      </w:r>
      <w:r>
        <w:rPr>
          <w:rStyle w:val="CharStyle7"/>
          <w:lang w:val="en-US" w:eastAsia="en-US"/>
        </w:rPr>
        <w:t xml:space="preserve">— </w:t>
      </w:r>
      <w:r>
        <w:rPr>
          <w:rStyle w:val="CharStyle7"/>
        </w:rPr>
        <w:t xml:space="preserve">Заявитель) на действия Финансового университета (далее </w:t>
      </w:r>
      <w:r>
        <w:rPr>
          <w:rStyle w:val="CharStyle7"/>
          <w:lang w:val="en-US" w:eastAsia="en-US"/>
        </w:rPr>
        <w:t xml:space="preserve">— </w:t>
      </w:r>
      <w:r>
        <w:rPr>
          <w:rStyle w:val="CharStyle7"/>
        </w:rPr>
        <w:t xml:space="preserve">Заказчик) при проведении запроса котировок в электронной форме на право заключения государственного контракта на поставку спортивного инвентаря и оборудования для проведения учебно-тренировочных занятий с участием студентов Финансового университета (Закупка </w:t>
      </w:r>
      <w:r>
        <w:rPr>
          <w:rStyle w:val="CharStyle7"/>
          <w:lang w:val="en-US" w:eastAsia="en-US"/>
        </w:rPr>
        <w:t xml:space="preserve">№ 0373100015725000122) </w:t>
      </w:r>
      <w:r>
        <w:rPr>
          <w:rStyle w:val="CharStyle7"/>
        </w:rPr>
        <w:t xml:space="preserve">(далее </w:t>
      </w:r>
      <w:r>
        <w:rPr>
          <w:rStyle w:val="CharStyle7"/>
          <w:lang w:val="en-US" w:eastAsia="en-US"/>
        </w:rPr>
        <w:t xml:space="preserve">— </w:t>
      </w:r>
      <w:r>
        <w:rPr>
          <w:rStyle w:val="CharStyle7"/>
        </w:rPr>
        <w:t xml:space="preserve">запрос котировок), в соответствии с Федеральным законом от </w:t>
      </w:r>
      <w:r>
        <w:rPr>
          <w:rStyle w:val="CharStyle7"/>
          <w:lang w:val="en-US" w:eastAsia="en-US"/>
        </w:rPr>
        <w:t xml:space="preserve">05.04.2013 № </w:t>
      </w:r>
      <w:r>
        <w:rPr>
          <w:rStyle w:val="CharStyle7"/>
        </w:rPr>
        <w:t>44-ФЗ «О контрактной системе в сфере закупок товаров,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360"/>
        <w:jc w:val="both"/>
      </w:pPr>
      <w:r>
        <w:rPr>
          <w:rStyle w:val="CharStyle7"/>
          <w:lang w:val="en-US" w:eastAsia="en-US"/>
        </w:rPr>
        <w:t>IIIIIIIIIIIIIIIIIIIIIIIIIIII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both"/>
        <w:rPr>
          <w:sz w:val="24"/>
          <w:szCs w:val="24"/>
        </w:rPr>
        <w:sectPr>
          <w:footnotePr>
            <w:pos w:val="pageBottom"/>
            <w:numFmt w:val="decimal"/>
            <w:numRestart w:val="continuous"/>
          </w:footnotePr>
          <w:pgSz w:w="11900" w:h="16840"/>
          <w:pgMar w:top="294" w:right="546" w:bottom="294" w:left="1106" w:header="0" w:footer="3" w:gutter="0"/>
          <w:pgNumType w:start="1"/>
          <w:cols w:space="720"/>
          <w:noEndnote/>
          <w:rtlGutter w:val="0"/>
          <w:docGrid w:linePitch="360"/>
        </w:sectPr>
      </w:pPr>
      <w:r>
        <w:rPr>
          <w:rStyle w:val="CharStyle11"/>
          <w:sz w:val="24"/>
          <w:szCs w:val="24"/>
          <w:lang w:val="en-US" w:eastAsia="en-US"/>
        </w:rPr>
        <w:t>2025-39610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600" w:line="240" w:lineRule="auto"/>
        <w:ind w:left="0" w:right="0" w:firstLine="0"/>
        <w:jc w:val="both"/>
      </w:pPr>
      <w:r>
        <w:rPr>
          <w:rStyle w:val="CharStyle7"/>
        </w:rPr>
        <w:t xml:space="preserve">работ, услуг для обеспечения государственных и муниципальных нужд» (далее </w:t>
      </w:r>
      <w:r>
        <w:rPr>
          <w:rStyle w:val="CharStyle7"/>
          <w:lang w:val="en-US" w:eastAsia="en-US"/>
        </w:rPr>
        <w:t xml:space="preserve">— </w:t>
      </w:r>
      <w:r>
        <w:rPr>
          <w:rStyle w:val="CharStyle7"/>
        </w:rPr>
        <w:t>Закон о контрактной системе),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center"/>
      </w:pPr>
      <w:r>
        <w:rPr>
          <w:rStyle w:val="CharStyle7"/>
          <w:b/>
          <w:bCs/>
        </w:rPr>
        <w:t>УСТАНОВИЛА: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60"/>
        <w:jc w:val="both"/>
      </w:pPr>
      <w:r>
        <w:rPr>
          <w:rStyle w:val="CharStyle7"/>
        </w:rPr>
        <w:t>В Московское УФАС России поступила жалоба Заявителя на действия Заказчика при проведении вышеуказанного запроса котировок.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60"/>
        <w:jc w:val="both"/>
      </w:pPr>
      <w:r>
        <w:rPr>
          <w:rStyle w:val="CharStyle7"/>
        </w:rPr>
        <w:t>В результате рассмотрения жалобы, рассмотрев представленные документы и сведения, запрашиваемые Московским УФАС России, Комиссия Управления установила следующее.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60"/>
        <w:jc w:val="both"/>
      </w:pPr>
      <w:r>
        <w:rPr>
          <w:rStyle w:val="CharStyle7"/>
        </w:rPr>
        <w:t>Заявитель обжалует действия Заказчика, выразившиеся в утверждении извещения в нарушение Закона о контрактной системе.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60"/>
        <w:jc w:val="both"/>
      </w:pPr>
      <w:r>
        <w:rPr>
          <w:rStyle w:val="CharStyle7"/>
        </w:rPr>
        <w:t xml:space="preserve">Согласно п.1 ч.2 ст.42 Закона о контрактной системе извещение об осуществлении закупки должно содержать описание объекта закупки в соответствии со ст. </w:t>
      </w:r>
      <w:r>
        <w:rPr>
          <w:rStyle w:val="CharStyle7"/>
          <w:lang w:val="en-US" w:eastAsia="en-US"/>
        </w:rPr>
        <w:t xml:space="preserve">33 </w:t>
      </w:r>
      <w:r>
        <w:rPr>
          <w:rStyle w:val="CharStyle7"/>
        </w:rPr>
        <w:t>Закона о контрактной системе.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60"/>
        <w:jc w:val="both"/>
      </w:pPr>
      <w:r>
        <w:rPr>
          <w:rStyle w:val="CharStyle7"/>
        </w:rPr>
        <w:t>П.1, п.2 ч.1 ст.33 Закона о контрактной системе установлено, что Заказчик при описании объекта закупки должен руководствоваться следующими правилами: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59" w:val="left"/>
        </w:tabs>
        <w:bidi w:val="0"/>
        <w:spacing w:before="0" w:after="0" w:line="240" w:lineRule="auto"/>
        <w:ind w:left="0" w:right="0" w:firstLine="660"/>
        <w:jc w:val="both"/>
      </w:pPr>
      <w:r>
        <w:rPr>
          <w:rStyle w:val="CharStyle7"/>
        </w:rPr>
        <w:t>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 В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моделей, промышленных образцов, наименование страны происхождения товара, требования к товарам, информации, работам, услугам при условии, что такие требования или указания влекут за собой ограничение количества участников закупки. Допускается использование в описании объекта закупки указания на товарный знак в следующих случаях:</w:t>
      </w:r>
    </w:p>
    <w:p>
      <w:pPr>
        <w:pStyle w:val="Style6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56" w:val="left"/>
        </w:tabs>
        <w:bidi w:val="0"/>
        <w:spacing w:before="0" w:after="0" w:line="240" w:lineRule="auto"/>
        <w:ind w:left="0" w:right="0" w:firstLine="660"/>
        <w:jc w:val="both"/>
      </w:pPr>
      <w:r>
        <w:rPr>
          <w:rStyle w:val="CharStyle7"/>
        </w:rPr>
        <w:t>сопровождение такого указания словами «или эквивалент»;</w:t>
      </w:r>
    </w:p>
    <w:p>
      <w:pPr>
        <w:pStyle w:val="Style6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49" w:val="left"/>
        </w:tabs>
        <w:bidi w:val="0"/>
        <w:spacing w:before="0" w:after="0" w:line="240" w:lineRule="auto"/>
        <w:ind w:left="0" w:right="0" w:firstLine="660"/>
        <w:jc w:val="both"/>
      </w:pPr>
      <w:r>
        <w:rPr>
          <w:rStyle w:val="CharStyle7"/>
        </w:rPr>
        <w:t>несовместимость товаров, на которых размещаются другие товарные знаки, и необходимость обеспечения взаимодействия таких товаров с товарами, используемыми заказчиком;</w:t>
      </w:r>
    </w:p>
    <w:p>
      <w:pPr>
        <w:pStyle w:val="Style6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44" w:val="left"/>
        </w:tabs>
        <w:bidi w:val="0"/>
        <w:spacing w:before="0" w:after="0" w:line="240" w:lineRule="auto"/>
        <w:ind w:left="0" w:right="0" w:firstLine="660"/>
        <w:jc w:val="both"/>
      </w:pPr>
      <w:r>
        <w:rPr>
          <w:rStyle w:val="CharStyle7"/>
        </w:rPr>
        <w:t>осуществление закупки запасных частей и расходных материалов к машинам и оборудованию, используемым заказчиком, в соответствии с технической документацией на указанные машины и оборудование;</w:t>
      </w:r>
    </w:p>
    <w:p>
      <w:pPr>
        <w:pStyle w:val="Style6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25" w:val="left"/>
        </w:tabs>
        <w:bidi w:val="0"/>
        <w:spacing w:before="0" w:after="0" w:line="240" w:lineRule="auto"/>
        <w:ind w:left="0" w:right="0" w:firstLine="660"/>
        <w:jc w:val="both"/>
      </w:pPr>
      <w:r>
        <w:rPr>
          <w:rStyle w:val="CharStyle7"/>
        </w:rPr>
        <w:t>осуществление закупки медицинских изделий, специализированных продуктов лечебного питания, необходимых для назначения пациенту по медицинским показаниям (индивидуальная непереносимость, по жизненным показаниям) по решению врачебной комиссии, которое фиксируется в медицинской документации пациента и журнале врачебной комиссии. Перечень указанных медицинских изделий, специализированных продуктов лечебного питания и порядок его формирования утверждаются Правительством Российской Федерации;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54" w:val="left"/>
        </w:tabs>
        <w:bidi w:val="0"/>
        <w:spacing w:before="0" w:after="440" w:line="240" w:lineRule="auto"/>
        <w:ind w:left="0" w:right="0" w:firstLine="660"/>
        <w:jc w:val="both"/>
      </w:pPr>
      <w:r>
        <w:rPr>
          <w:rStyle w:val="CharStyle7"/>
        </w:rPr>
        <w:t>использование при составлении описания объекта закупки показателей, требований, условных обозначений и терминологии, касающихся технических характеристик, функциональных характеристик (потребительских свойств) товара,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7"/>
        </w:rPr>
        <w:t>работы, услуги и качественных характеристик объекта закупки, которые предусмотрены техническими регламентами, принятыми в соответствии с законодательством Российской Федерации о техническом регулировании, документами, разрабатываемыми и применяемыми в национальной системе стандартизации, принятыми в соответствии с законодательством Российской Федерации о стандартизации, иных требований, связанных с определением соответствия поставляемого товара, выполняемой работы, оказываемой услуги потребностям заказчика.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регулировании, законодательством Российской Федерации о стандартизации показатели, требования, условные обозначения и терминология, в таком описании должно содержаться обоснование необходимости использования других показателей, требований, условных обозначений и терминологии.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60"/>
        <w:jc w:val="both"/>
      </w:pPr>
      <w:r>
        <w:rPr>
          <w:rStyle w:val="CharStyle7"/>
        </w:rPr>
        <w:t>В соответствии с ч.2 ст.33 Закона о контрактной системе описание объекта закупки в соответствии с требованиями, указанными в ч.1 ст.33 Закона о контрактной системе, должно содержать показатели, позволяющие определить соответствие закупаемых товара, работы, услуги установленным заказчиком требованиям. При этом указываются максимальные и (или) минимальные значения таких показателей и (или) значения показателей, которые не могут изменяться.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60"/>
        <w:jc w:val="both"/>
      </w:pPr>
      <w:r>
        <w:rPr>
          <w:rStyle w:val="CharStyle7"/>
        </w:rPr>
        <w:t>По мнению Заявителя, совокупность установленных параметров для товаров соответствует товару единственного производителя, при этом ограничивающими характеристиками являются: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60"/>
        <w:jc w:val="both"/>
      </w:pPr>
      <w:r>
        <w:rPr>
          <w:rStyle w:val="CharStyle7"/>
        </w:rPr>
        <w:t xml:space="preserve">по п.4 «Мяч баскетбольный»: «Технология </w:t>
      </w:r>
      <w:r>
        <w:rPr>
          <w:rStyle w:val="CharStyle7"/>
          <w:lang w:val="en-US" w:eastAsia="en-US"/>
        </w:rPr>
        <w:t xml:space="preserve">Deep Channel: </w:t>
      </w:r>
      <w:r>
        <w:rPr>
          <w:rStyle w:val="CharStyle7"/>
        </w:rPr>
        <w:t>Да»;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60"/>
        <w:jc w:val="both"/>
      </w:pPr>
      <w:r>
        <w:rPr>
          <w:rStyle w:val="CharStyle7"/>
        </w:rPr>
        <w:t xml:space="preserve">по п.10 «Мяч футбольный»: «Конструкция модели </w:t>
      </w:r>
      <w:r>
        <w:rPr>
          <w:rStyle w:val="CharStyle7"/>
          <w:lang w:val="en-US" w:eastAsia="en-US"/>
        </w:rPr>
        <w:t>– Futsal»;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60"/>
        <w:jc w:val="both"/>
      </w:pPr>
      <w:r>
        <w:rPr>
          <w:rStyle w:val="CharStyle7"/>
        </w:rPr>
        <w:t xml:space="preserve">по п.14 «Мяч футбольный»: «Технология: </w:t>
      </w:r>
      <w:r>
        <w:rPr>
          <w:rStyle w:val="CharStyle7"/>
          <w:lang w:val="en-US" w:eastAsia="en-US"/>
        </w:rPr>
        <w:t xml:space="preserve">CTR-Core», </w:t>
      </w:r>
      <w:r>
        <w:rPr>
          <w:rStyle w:val="CharStyle7"/>
        </w:rPr>
        <w:t xml:space="preserve">«Конструкция панели: </w:t>
      </w:r>
      <w:r>
        <w:rPr>
          <w:rStyle w:val="CharStyle7"/>
          <w:lang w:val="en-US" w:eastAsia="en-US"/>
        </w:rPr>
        <w:t>PRECISION SHELL»;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60"/>
        <w:jc w:val="both"/>
      </w:pPr>
      <w:r>
        <w:rPr>
          <w:rStyle w:val="CharStyle7"/>
        </w:rPr>
        <w:t xml:space="preserve">по п.18 «Ракетка для настольного тенниса»: «Система </w:t>
      </w:r>
      <w:r>
        <w:rPr>
          <w:rStyle w:val="CharStyle7"/>
          <w:lang w:val="en-US" w:eastAsia="en-US"/>
        </w:rPr>
        <w:t>AVS Anti-Vibration</w:t>
        <w:softHyphen/>
        <w:t>System (AVS)».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60"/>
        <w:jc w:val="both"/>
      </w:pPr>
      <w:r>
        <w:rPr>
          <w:rStyle w:val="CharStyle7"/>
        </w:rPr>
        <w:t>В силу ч.1 ст.106 Закона о контрактной системе лица, права и законные интересы которых непосредственно затрагиваются в результате рассмотрения жалобы, вправе направить в контрольный орган в сфере закупок возражения на жалобу, участвовать в ее рассмотрении лично или через своих представителей.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60"/>
        <w:jc w:val="both"/>
      </w:pPr>
      <w:r>
        <w:rPr>
          <w:rStyle w:val="CharStyle7"/>
        </w:rPr>
        <w:t>На заседании Комиссии Управления представитель Заказчика не согласился с доводами жалобы, при этом пояснил, что оспариваемые заявителем требования являются по сути общепринятыми обозначениями тех или иных характеристик спортивного инвентаря и оборудования. При этом, совокупности установленных требований соответствуют следующие производители: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60"/>
        <w:jc w:val="both"/>
      </w:pPr>
      <w:r>
        <w:rPr>
          <w:rStyle w:val="CharStyle7"/>
        </w:rPr>
        <w:t xml:space="preserve">по п.4 «Мяч баскетбольный»: Баскетбольный мяч тренировочно-игровой </w:t>
      </w:r>
      <w:r>
        <w:rPr>
          <w:rStyle w:val="CharStyle7"/>
          <w:lang w:val="en-US" w:eastAsia="en-US"/>
        </w:rPr>
        <w:t xml:space="preserve">Jogel JB-500, </w:t>
      </w:r>
      <w:r>
        <w:rPr>
          <w:rStyle w:val="CharStyle7"/>
        </w:rPr>
        <w:t xml:space="preserve">размер </w:t>
      </w:r>
      <w:r>
        <w:rPr>
          <w:rStyle w:val="CharStyle7"/>
          <w:lang w:val="en-US" w:eastAsia="en-US"/>
        </w:rPr>
        <w:t xml:space="preserve">7, TORRES </w:t>
      </w:r>
      <w:r>
        <w:rPr>
          <w:rStyle w:val="CharStyle7"/>
        </w:rPr>
        <w:t xml:space="preserve">(Мяч баскетбольный </w:t>
      </w:r>
      <w:r>
        <w:rPr>
          <w:rStyle w:val="CharStyle7"/>
          <w:lang w:val="en-US" w:eastAsia="en-US"/>
        </w:rPr>
        <w:t xml:space="preserve">Torres BM300), </w:t>
      </w:r>
      <w:r>
        <w:rPr>
          <w:rStyle w:val="CharStyle7"/>
        </w:rPr>
        <w:t xml:space="preserve">Мяч баскетбольный </w:t>
      </w:r>
      <w:r>
        <w:rPr>
          <w:rStyle w:val="CharStyle7"/>
          <w:lang w:val="en-US" w:eastAsia="en-US"/>
        </w:rPr>
        <w:t xml:space="preserve">Atemi, </w:t>
      </w:r>
      <w:r>
        <w:rPr>
          <w:rStyle w:val="CharStyle7"/>
        </w:rPr>
        <w:t xml:space="preserve">р. </w:t>
      </w:r>
      <w:r>
        <w:rPr>
          <w:rStyle w:val="CharStyle7"/>
          <w:lang w:val="en-US" w:eastAsia="en-US"/>
        </w:rPr>
        <w:t>7;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60"/>
        <w:jc w:val="both"/>
      </w:pPr>
      <w:r>
        <w:rPr>
          <w:rStyle w:val="CharStyle7"/>
        </w:rPr>
        <w:t xml:space="preserve">по п.10 «Мяч футбольный»: </w:t>
      </w:r>
      <w:r>
        <w:rPr>
          <w:rStyle w:val="CharStyle7"/>
          <w:lang w:val="en-US" w:eastAsia="en-US"/>
        </w:rPr>
        <w:t xml:space="preserve">Select </w:t>
      </w:r>
      <w:r>
        <w:rPr>
          <w:rStyle w:val="CharStyle7"/>
        </w:rPr>
        <w:t xml:space="preserve">(Мяч футзальный </w:t>
      </w:r>
      <w:r>
        <w:rPr>
          <w:rStyle w:val="CharStyle7"/>
          <w:lang w:val="en-US" w:eastAsia="en-US"/>
        </w:rPr>
        <w:t xml:space="preserve">SELECT Futsal Super TB), Nike </w:t>
      </w:r>
      <w:r>
        <w:rPr>
          <w:rStyle w:val="CharStyle7"/>
        </w:rPr>
        <w:t xml:space="preserve">(Мяч футзальный </w:t>
      </w:r>
      <w:r>
        <w:rPr>
          <w:rStyle w:val="CharStyle7"/>
          <w:lang w:val="en-US" w:eastAsia="en-US"/>
        </w:rPr>
        <w:t xml:space="preserve">Nike Futsal Pro, Puma </w:t>
      </w:r>
      <w:r>
        <w:rPr>
          <w:rStyle w:val="CharStyle7"/>
        </w:rPr>
        <w:t xml:space="preserve">(Мяч футзальный </w:t>
      </w:r>
      <w:r>
        <w:rPr>
          <w:rStyle w:val="CharStyle7"/>
          <w:lang w:val="en-US" w:eastAsia="en-US"/>
        </w:rPr>
        <w:t>PUMA Futsal 1);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60"/>
        <w:jc w:val="both"/>
      </w:pPr>
      <w:r>
        <w:rPr>
          <w:rStyle w:val="CharStyle7"/>
        </w:rPr>
        <w:t xml:space="preserve">по п.14 «Мяч футбольный»: </w:t>
      </w:r>
      <w:r>
        <w:rPr>
          <w:rStyle w:val="CharStyle7"/>
          <w:lang w:val="en-US" w:eastAsia="en-US"/>
        </w:rPr>
        <w:t>Nike Flight, Adidas Fussballliebe;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40"/>
        <w:jc w:val="both"/>
      </w:pPr>
      <w:r>
        <w:rPr>
          <w:rStyle w:val="CharStyle7"/>
        </w:rPr>
        <w:t xml:space="preserve">по п.18 «Ракетка для настольного тенниса»: </w:t>
      </w:r>
      <w:r>
        <w:rPr>
          <w:rStyle w:val="CharStyle7"/>
          <w:lang w:val="en-US" w:eastAsia="en-US"/>
        </w:rPr>
        <w:t>Donic (Donic Top Team 800), Double Fish (Double Fish K9).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40"/>
        <w:jc w:val="both"/>
      </w:pPr>
      <w:r>
        <w:rPr>
          <w:rStyle w:val="CharStyle7"/>
        </w:rPr>
        <w:t>В силу ч.4 ст.106 Закона о контрактной системе участник закупки, подавший жалобу, вправе представить для рассмотрения жалобы по существу информацию и документы, подтверждающие обоснованность доводов жалобы.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40"/>
        <w:jc w:val="both"/>
      </w:pPr>
      <w:r>
        <w:rPr>
          <w:rStyle w:val="CharStyle7"/>
        </w:rPr>
        <w:t>Вместе с тем в составе жалобы, а также на заседании Комиссии Управления Заявителем не представлено документов и сведений, свидетельствующих о несоответствии товаров, представленных Заказчиком, совокупности требований извещения, ввиду чего у Комиссии Управления отсутствуют правовые основания для признания Заказчика нарушившим положения о Законе о контрактной системе.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40"/>
        <w:jc w:val="both"/>
      </w:pPr>
      <w:r>
        <w:rPr>
          <w:rStyle w:val="CharStyle7"/>
        </w:rPr>
        <w:t>Вместе с тем Комиссия Управления отмечает, что Заявителем не представлено доказательств того обстоятельства, что содержащиеся в описании объекта закупки требования необоснованно создали одним участникам закупки преимущество перед другими, являются непреодолимыми для некоторых участников закупки, а также каким-либо иным образом повлекли за собой ограничение количества участников закупки.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40"/>
        <w:jc w:val="both"/>
      </w:pPr>
      <w:r>
        <w:rPr>
          <w:rStyle w:val="CharStyle7"/>
        </w:rPr>
        <w:t>Также Заявителем не представлено доказательств того, что у Заказчика объективно отсутствует необходимость в получении именно тех товаров, с теми качественными, функциональными и техническими характеристиками и именно в той комплектации, которая указана в описании объекта закупки. В свою очередь, при наличии у Заказчика потребности в получении определенных товаров вести речь о необоснованном ограничении им количества потенциальных участников закупки не приходится. Доказательств обратного Заявителем Комиссии Управления не представлено.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40"/>
        <w:jc w:val="both"/>
      </w:pPr>
      <w:r>
        <w:rPr>
          <w:rStyle w:val="CharStyle7"/>
        </w:rPr>
        <w:t>Кроме того, Комиссия также отмечает, что предъявленные Заказчиком требования к поставляемым товарам в равной степени распространялись на всех участников закупки, ввиду чего любое лицо обладало возможностью закупить и поставить требуемые товары. Каких-либо доказательств невозможности совершения данных действий Заявителем не представлено, ввиду чего у Комиссии отсутствуют правовые основания считать Заказчика нарушившим требования Закона о контрактной системе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40"/>
        <w:jc w:val="both"/>
      </w:pPr>
      <w:r>
        <w:rPr>
          <w:rStyle w:val="CharStyle7"/>
        </w:rPr>
        <w:t>Иного на заседании Комиссии Управления не выявлено.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40"/>
        <w:jc w:val="both"/>
      </w:pPr>
      <w:r>
        <w:rPr>
          <w:rStyle w:val="CharStyle7"/>
        </w:rPr>
        <w:t>На основании изложенного, Комиссия Управления приходит к выводу о том, что доводы жалобы Заявителя не нашли своего подтверждения и являются необоснованными.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40"/>
        <w:jc w:val="both"/>
      </w:pPr>
      <w:r>
        <w:rPr>
          <w:rStyle w:val="CharStyle7"/>
        </w:rPr>
        <w:t>Исследовав представленные материалы, руководствуясь Законом о контрактной системе, Комиссия Управления</w:t>
      </w:r>
      <w:r>
        <w:br w:type="page"/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center"/>
      </w:pPr>
      <w:r>
        <w:rPr>
          <w:rStyle w:val="CharStyle7"/>
          <w:b/>
          <w:bCs/>
        </w:rPr>
        <w:t>РЕШИЛА:</w:t>
      </w:r>
    </w:p>
    <w:p>
      <w:pPr>
        <w:pStyle w:val="Style6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040" w:val="left"/>
        </w:tabs>
        <w:bidi w:val="0"/>
        <w:spacing w:before="0" w:after="0" w:line="240" w:lineRule="auto"/>
        <w:ind w:left="0" w:right="0" w:firstLine="640"/>
        <w:jc w:val="both"/>
      </w:pPr>
      <w:r>
        <w:rPr>
          <w:rStyle w:val="CharStyle7"/>
        </w:rPr>
        <w:t>Признать жалобу ИП Валенкова Л.Н. на действия Финансового университета необоснованной.</w:t>
      </w:r>
    </w:p>
    <w:p>
      <w:pPr>
        <w:pStyle w:val="Style6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040" w:val="left"/>
        </w:tabs>
        <w:bidi w:val="0"/>
        <w:spacing w:before="0" w:after="240" w:line="240" w:lineRule="auto"/>
        <w:ind w:left="0" w:right="0" w:firstLine="640"/>
        <w:jc w:val="both"/>
      </w:pPr>
      <w:r>
        <w:rPr>
          <w:rStyle w:val="CharStyle7"/>
        </w:rPr>
        <w:t>Снять ограничения, наложенные на определение поставщика (подрядчика, исполнителя) Московским УФАС России.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40"/>
        <w:jc w:val="both"/>
      </w:pPr>
      <w:r>
        <w:rPr>
          <w:rStyle w:val="CharStyle7"/>
        </w:rPr>
        <w:t xml:space="preserve">Решение может быть обжаловано в суде (Арбитражном суде г. Москвы) в порядке, установленном гл. </w:t>
      </w:r>
      <w:r>
        <w:rPr>
          <w:rStyle w:val="CharStyle7"/>
          <w:lang w:val="en-US" w:eastAsia="en-US"/>
        </w:rPr>
        <w:t xml:space="preserve">24 </w:t>
      </w:r>
      <w:r>
        <w:rPr>
          <w:rStyle w:val="CharStyle7"/>
        </w:rPr>
        <w:t xml:space="preserve">АПК РФ, в течение </w:t>
      </w:r>
      <w:r>
        <w:rPr>
          <w:rStyle w:val="CharStyle7"/>
          <w:lang w:val="en-US" w:eastAsia="en-US"/>
        </w:rPr>
        <w:t xml:space="preserve">3 </w:t>
      </w:r>
      <w:r>
        <w:rPr>
          <w:rStyle w:val="CharStyle7"/>
        </w:rPr>
        <w:t>(трех) месяцев с даты его принятия.</w:t>
      </w:r>
    </w:p>
    <w:p>
      <w:pPr>
        <w:widowControl w:val="0"/>
        <w:spacing w:line="1" w:lineRule="exact"/>
        <w:sectPr>
          <w:headerReference w:type="default" r:id="rId7"/>
          <w:footerReference w:type="default" r:id="rId8"/>
          <w:footnotePr>
            <w:pos w:val="pageBottom"/>
            <w:numFmt w:val="decimal"/>
            <w:numRestart w:val="continuous"/>
          </w:footnotePr>
          <w:pgSz w:w="11900" w:h="16840"/>
          <w:pgMar w:top="1138" w:right="537" w:bottom="1412" w:left="1101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330200" distB="216535" distL="0" distR="0" simplePos="0" relativeHeight="125829381" behindDoc="0" locked="0" layoutInCell="1" allowOverlap="1">
                <wp:simplePos x="0" y="0"/>
                <wp:positionH relativeFrom="page">
                  <wp:posOffset>735330</wp:posOffset>
                </wp:positionH>
                <wp:positionV relativeFrom="paragraph">
                  <wp:posOffset>330200</wp:posOffset>
                </wp:positionV>
                <wp:extent cx="1844040" cy="252730"/>
                <wp:wrapTopAndBottom/>
                <wp:docPr id="9" name="Shape 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44040" cy="2527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7"/>
                              </w:rPr>
                              <w:t>Председательствующий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5" type="#_x0000_t202" style="position:absolute;margin-left:57.899999999999999pt;margin-top:26.pt;width:145.20000000000002pt;height:19.900000000000002pt;z-index:-125829372;mso-wrap-distance-left:0;mso-wrap-distance-top:26.pt;mso-wrap-distance-right:0;mso-wrap-distance-bottom:17.050000000000001pt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7"/>
                        </w:rPr>
                        <w:t>Председательствующий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400050" distB="0" distL="0" distR="1786255" simplePos="0" relativeHeight="125829383" behindDoc="0" locked="0" layoutInCell="1" allowOverlap="1">
            <wp:simplePos x="0" y="0"/>
            <wp:positionH relativeFrom="page">
              <wp:posOffset>3103880</wp:posOffset>
            </wp:positionH>
            <wp:positionV relativeFrom="paragraph">
              <wp:posOffset>400050</wp:posOffset>
            </wp:positionV>
            <wp:extent cx="359410" cy="402590"/>
            <wp:wrapTopAndBottom/>
            <wp:docPr id="11" name="Shape 1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box 12"/>
                    <pic:cNvPicPr/>
                  </pic:nvPicPr>
                  <pic:blipFill>
                    <a:blip r:embed="rId9"/>
                    <a:stretch/>
                  </pic:blipFill>
                  <pic:spPr>
                    <a:xfrm>
                      <a:ext cx="359410" cy="40259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3521710</wp:posOffset>
                </wp:positionH>
                <wp:positionV relativeFrom="paragraph">
                  <wp:posOffset>491490</wp:posOffset>
                </wp:positionV>
                <wp:extent cx="1725295" cy="259080"/>
                <wp:wrapNone/>
                <wp:docPr id="13" name="Shape 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5295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9" type="#_x0000_t202" style="position:absolute;margin-left:277.30000000000001pt;margin-top:38.700000000000003pt;width:135.84999999999999pt;height:20.400000000000002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330200" distB="216535" distL="0" distR="0" simplePos="0" relativeHeight="125829384" behindDoc="0" locked="0" layoutInCell="1" allowOverlap="1">
                <wp:simplePos x="0" y="0"/>
                <wp:positionH relativeFrom="page">
                  <wp:posOffset>6078220</wp:posOffset>
                </wp:positionH>
                <wp:positionV relativeFrom="paragraph">
                  <wp:posOffset>330200</wp:posOffset>
                </wp:positionV>
                <wp:extent cx="1136650" cy="252730"/>
                <wp:wrapTopAndBottom/>
                <wp:docPr id="15" name="Shape 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136650" cy="2527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7"/>
                              </w:rPr>
                              <w:t>Д.С. Грешнева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1" type="#_x0000_t202" style="position:absolute;margin-left:478.60000000000002pt;margin-top:26.pt;width:89.5pt;height:19.900000000000002pt;z-index:-125829369;mso-wrap-distance-left:0;mso-wrap-distance-top:26.pt;mso-wrap-distance-right:0;mso-wrap-distance-bottom:17.050000000000001pt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7"/>
                        </w:rPr>
                        <w:t>Д.С. Грешнева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19"/>
        <w:keepNext w:val="0"/>
        <w:keepLines w:val="0"/>
        <w:widowControl w:val="0"/>
        <w:pBdr>
          <w:top w:val="single" w:sz="0" w:space="1" w:color="000000"/>
          <w:left w:val="single" w:sz="0" w:space="0" w:color="000000"/>
          <w:bottom w:val="single" w:sz="0" w:space="2" w:color="000000"/>
          <w:right w:val="single" w:sz="0" w:space="0" w:color="000000"/>
        </w:pBdr>
        <w:shd w:val="clear" w:color="auto" w:fill="000000"/>
        <w:bidi w:val="0"/>
        <w:spacing w:before="0" w:after="46" w:line="240" w:lineRule="auto"/>
        <w:ind w:right="0" w:firstLine="0"/>
        <w:jc w:val="left"/>
      </w:pPr>
      <w:r>
        <w:rPr>
          <w:rStyle w:val="CharStyle20"/>
          <w:color w:val="FFFFFF"/>
        </w:rPr>
        <w:t>СВЕДЕНИЯ О СЕРТИФИКАТЕ ЭП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2"/>
        </w:rPr>
        <w:t xml:space="preserve">Кому выдан: </w:t>
      </w:r>
      <w:r>
        <w:rPr>
          <w:rStyle w:val="CharStyle22"/>
          <w:color w:val="000000"/>
        </w:rPr>
        <w:t>Грешнева Дарья Сергеевна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2"/>
          <w:color w:val="292929"/>
        </w:rPr>
        <w:t xml:space="preserve">Сертификат № </w:t>
      </w:r>
      <w:r>
        <w:rPr>
          <w:rStyle w:val="CharStyle22"/>
          <w:color w:val="5D5D5D"/>
        </w:rPr>
        <w:t>00831</w:t>
      </w:r>
      <w:r>
        <w:rPr>
          <w:rStyle w:val="CharStyle22"/>
          <w:lang w:val="en-US" w:eastAsia="en-US"/>
        </w:rPr>
        <w:t>B7545C61281C4BAB156778A683BFB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560" w:line="240" w:lineRule="auto"/>
        <w:ind w:right="0" w:firstLine="0"/>
        <w:jc w:val="left"/>
      </w:pPr>
      <w:r>
        <w:rPr>
          <w:rStyle w:val="CharStyle22"/>
        </w:rPr>
        <w:t xml:space="preserve">Действителен с </w:t>
      </w:r>
      <w:r>
        <w:rPr>
          <w:rStyle w:val="CharStyle22"/>
          <w:color w:val="292929"/>
        </w:rPr>
        <w:t xml:space="preserve">17.07.2025 </w:t>
      </w:r>
      <w:r>
        <w:rPr>
          <w:rStyle w:val="CharStyle22"/>
          <w:color w:val="5D5D5D"/>
        </w:rPr>
        <w:t xml:space="preserve">по </w:t>
      </w:r>
      <w:r>
        <w:rPr>
          <w:rStyle w:val="CharStyle22"/>
        </w:rPr>
        <w:t>10.10.2026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</w:pPr>
      <w:r>
        <w:rPr>
          <w:rStyle w:val="CharStyle7"/>
        </w:rPr>
        <w:t>Члены комиссии: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640" w:line="240" w:lineRule="auto"/>
        <w:ind w:left="1280" w:right="0" w:firstLine="0"/>
        <w:jc w:val="left"/>
      </w:pPr>
      <w:r>
        <w:drawing>
          <wp:anchor distT="0" distB="0" distL="114300" distR="1900555" simplePos="0" relativeHeight="125829386" behindDoc="0" locked="0" layoutInCell="1" allowOverlap="1">
            <wp:simplePos x="0" y="0"/>
            <wp:positionH relativeFrom="page">
              <wp:posOffset>3103880</wp:posOffset>
            </wp:positionH>
            <wp:positionV relativeFrom="paragraph">
              <wp:posOffset>63500</wp:posOffset>
            </wp:positionV>
            <wp:extent cx="359410" cy="518160"/>
            <wp:wrapSquare wrapText="right"/>
            <wp:docPr id="17" name="Shape 1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Picture box 18"/>
                    <pic:cNvPicPr/>
                  </pic:nvPicPr>
                  <pic:blipFill>
                    <a:blip r:embed="rId11"/>
                    <a:stretch/>
                  </pic:blipFill>
                  <pic:spPr>
                    <a:xfrm>
                      <a:ext cx="359410" cy="51816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3564255</wp:posOffset>
                </wp:positionH>
                <wp:positionV relativeFrom="paragraph">
                  <wp:posOffset>466090</wp:posOffset>
                </wp:positionV>
                <wp:extent cx="1283335" cy="100330"/>
                <wp:wrapNone/>
                <wp:docPr id="19" name="Shape 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3335" cy="1003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rStyle w:val="CharStyle14"/>
                                <w:color w:val="FFFFFF"/>
                                <w:sz w:val="12"/>
                                <w:szCs w:val="12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5" type="#_x0000_t202" style="position:absolute;margin-left:280.65000000000003pt;margin-top:36.700000000000003pt;width:101.05pt;height:7.9000000000000004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2"/>
                          <w:szCs w:val="12"/>
                        </w:rPr>
                      </w:pPr>
                      <w:r>
                        <w:rPr>
                          <w:rStyle w:val="CharStyle14"/>
                          <w:color w:val="FFFFFF"/>
                          <w:sz w:val="12"/>
                          <w:szCs w:val="12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6" behindDoc="0" locked="0" layoutInCell="1" allowOverlap="1">
                <wp:simplePos x="0" y="0"/>
                <wp:positionH relativeFrom="page">
                  <wp:posOffset>3524250</wp:posOffset>
                </wp:positionH>
                <wp:positionV relativeFrom="paragraph">
                  <wp:posOffset>148590</wp:posOffset>
                </wp:positionV>
                <wp:extent cx="1722120" cy="259080"/>
                <wp:wrapNone/>
                <wp:docPr id="21" name="Shape 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7" type="#_x0000_t202" style="position:absolute;margin-left:277.5pt;margin-top:11.700000000000001pt;width:135.59999999999999pt;height:20.400000000000002pt;z-index:25165773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rStyle w:val="CharStyle7"/>
        </w:rPr>
        <w:t>А.А. Леонова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2"/>
        </w:rPr>
        <w:t xml:space="preserve">Кому выдан: </w:t>
      </w:r>
      <w:r>
        <w:rPr>
          <w:rStyle w:val="CharStyle22"/>
          <w:color w:val="000000"/>
        </w:rPr>
        <w:t>Леонова Алена Альбертовна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2"/>
        </w:rPr>
        <w:t xml:space="preserve">Сертификат </w:t>
      </w:r>
      <w:r>
        <w:rPr>
          <w:rStyle w:val="CharStyle22"/>
          <w:color w:val="292929"/>
        </w:rPr>
        <w:t xml:space="preserve">№ </w:t>
      </w:r>
      <w:r>
        <w:rPr>
          <w:rStyle w:val="CharStyle22"/>
          <w:lang w:val="en-US" w:eastAsia="en-US"/>
        </w:rPr>
        <w:t>009389F972AA570F22D19E7C51D28B0906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560" w:line="240" w:lineRule="auto"/>
        <w:ind w:right="0" w:firstLine="0"/>
        <w:jc w:val="left"/>
      </w:pPr>
      <w:r>
        <w:rPr>
          <w:rStyle w:val="CharStyle22"/>
        </w:rPr>
        <w:t>Действителен с 20.09.2024 по 14.12.2025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640" w:line="240" w:lineRule="auto"/>
        <w:ind w:left="0" w:right="0" w:firstLine="660"/>
        <w:jc w:val="left"/>
      </w:pPr>
      <w:r>
        <w:drawing>
          <wp:anchor distT="0" distB="0" distL="114300" distR="1900555" simplePos="0" relativeHeight="125829387" behindDoc="0" locked="0" layoutInCell="1" allowOverlap="1">
            <wp:simplePos x="0" y="0"/>
            <wp:positionH relativeFrom="page">
              <wp:posOffset>3103880</wp:posOffset>
            </wp:positionH>
            <wp:positionV relativeFrom="paragraph">
              <wp:posOffset>63500</wp:posOffset>
            </wp:positionV>
            <wp:extent cx="359410" cy="524510"/>
            <wp:wrapSquare wrapText="right"/>
            <wp:docPr id="23" name="Shape 2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Picture box 24"/>
                    <pic:cNvPicPr/>
                  </pic:nvPicPr>
                  <pic:blipFill>
                    <a:blip r:embed="rId13"/>
                    <a:stretch/>
                  </pic:blipFill>
                  <pic:spPr>
                    <a:xfrm>
                      <a:ext cx="359410" cy="52451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8" behindDoc="0" locked="0" layoutInCell="1" allowOverlap="1">
                <wp:simplePos x="0" y="0"/>
                <wp:positionH relativeFrom="page">
                  <wp:posOffset>3564255</wp:posOffset>
                </wp:positionH>
                <wp:positionV relativeFrom="paragraph">
                  <wp:posOffset>468630</wp:posOffset>
                </wp:positionV>
                <wp:extent cx="1283335" cy="100330"/>
                <wp:wrapNone/>
                <wp:docPr id="25" name="Shape 2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3335" cy="1003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rStyle w:val="CharStyle14"/>
                                <w:color w:val="FFFFFF"/>
                                <w:sz w:val="12"/>
                                <w:szCs w:val="12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1" type="#_x0000_t202" style="position:absolute;margin-left:280.65000000000003pt;margin-top:36.899999999999999pt;width:101.05pt;height:7.9000000000000004pt;z-index:251657735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2"/>
                          <w:szCs w:val="12"/>
                        </w:rPr>
                      </w:pPr>
                      <w:r>
                        <w:rPr>
                          <w:rStyle w:val="CharStyle14"/>
                          <w:color w:val="FFFFFF"/>
                          <w:sz w:val="12"/>
                          <w:szCs w:val="12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90" behindDoc="0" locked="0" layoutInCell="1" allowOverlap="1">
                <wp:simplePos x="0" y="0"/>
                <wp:positionH relativeFrom="page">
                  <wp:posOffset>3524250</wp:posOffset>
                </wp:positionH>
                <wp:positionV relativeFrom="paragraph">
                  <wp:posOffset>151765</wp:posOffset>
                </wp:positionV>
                <wp:extent cx="1722120" cy="259080"/>
                <wp:wrapNone/>
                <wp:docPr id="27" name="Shape 2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3" type="#_x0000_t202" style="position:absolute;margin-left:277.5pt;margin-top:11.950000000000001pt;width:135.59999999999999pt;height:20.400000000000002pt;z-index:251657737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rStyle w:val="CharStyle7"/>
        </w:rPr>
        <w:t>А.И. Рахматуллаев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2"/>
        </w:rPr>
        <w:t xml:space="preserve">Кому выдан: </w:t>
      </w:r>
      <w:r>
        <w:rPr>
          <w:rStyle w:val="CharStyle22"/>
          <w:color w:val="000000"/>
        </w:rPr>
        <w:t>Рахматуллаев Алексей Ильич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2"/>
        </w:rPr>
        <w:t xml:space="preserve">Сертификат </w:t>
      </w:r>
      <w:r>
        <w:rPr>
          <w:rStyle w:val="CharStyle22"/>
          <w:color w:val="292929"/>
        </w:rPr>
        <w:t xml:space="preserve">№ </w:t>
      </w:r>
      <w:r>
        <w:rPr>
          <w:rStyle w:val="CharStyle22"/>
          <w:lang w:val="en-US" w:eastAsia="en-US"/>
        </w:rPr>
        <w:t>7AEE97A08C8432425F146F6255A521C3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2180" w:line="240" w:lineRule="auto"/>
        <w:ind w:right="0" w:firstLine="0"/>
        <w:jc w:val="left"/>
      </w:pPr>
      <w:r>
        <w:rPr>
          <w:rStyle w:val="CharStyle22"/>
        </w:rPr>
        <w:t xml:space="preserve">Действителен с 12.11.2024 </w:t>
      </w:r>
      <w:r>
        <w:rPr>
          <w:rStyle w:val="CharStyle22"/>
          <w:color w:val="5D5D5D"/>
        </w:rPr>
        <w:t xml:space="preserve">по </w:t>
      </w:r>
      <w:r>
        <w:rPr>
          <w:rStyle w:val="CharStyle22"/>
        </w:rPr>
        <w:t>05.02.2026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</w:pPr>
      <w:r>
        <w:rPr>
          <w:rStyle w:val="CharStyle11"/>
        </w:rPr>
        <w:t>Исп. Леонова А.А. тел. (495) 784-75-05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479" w:right="532" w:bottom="1479" w:left="1106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729615</wp:posOffset>
              </wp:positionH>
              <wp:positionV relativeFrom="page">
                <wp:posOffset>10016490</wp:posOffset>
              </wp:positionV>
              <wp:extent cx="722630" cy="103505"/>
              <wp:wrapNone/>
              <wp:docPr id="7" name="Shape 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2630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16"/>
                              <w:sz w:val="24"/>
                              <w:szCs w:val="24"/>
                            </w:rPr>
                            <w:t>2025-39610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3" type="#_x0000_t202" style="position:absolute;margin-left:57.450000000000003pt;margin-top:788.70000000000005pt;width:56.899999999999999pt;height:8.1500000000000004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16"/>
                        <w:sz w:val="24"/>
                        <w:szCs w:val="24"/>
                      </w:rPr>
                      <w:t>2025-39610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3926840</wp:posOffset>
              </wp:positionH>
              <wp:positionV relativeFrom="page">
                <wp:posOffset>476250</wp:posOffset>
              </wp:positionV>
              <wp:extent cx="57785" cy="69850"/>
              <wp:wrapNone/>
              <wp:docPr id="5" name="Shape 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7785" cy="6985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rStyle w:val="CharStyle16"/>
                                <w:sz w:val="24"/>
                                <w:szCs w:val="24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1" type="#_x0000_t202" style="position:absolute;margin-left:309.19999999999999pt;margin-top:37.5pt;width:4.5499999999999998pt;height:5.5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rStyle w:val="CharStyle16"/>
                          <w:sz w:val="24"/>
                          <w:szCs w:val="24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en-US" w:eastAsia="en-US"/>
      </w:rPr>
    </w:lvl>
  </w:abstractNum>
  <w:abstractNum w:abstractNumId="2">
    <w:multiLevelType w:val="multilevel"/>
    <w:lvl w:ilvl="0">
      <w:start w:val="1"/>
      <w:numFmt w:val="russianLower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/>
      </w:rPr>
    </w:lvl>
  </w:abstractNum>
  <w:abstractNum w:abstractNumId="4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en-US" w:eastAsia="en-US"/>
      </w:rPr>
    </w:lvl>
  </w:abstractNum>
  <w:num w:numId="1">
    <w:abstractNumId w:val="0"/>
  </w:num>
  <w:num w:numId="3">
    <w:abstractNumId w:val="2"/>
  </w:num>
  <w:num w:numId="5">
    <w:abstractNumId w:val="4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customStyle="1" w:styleId="CharStyle3">
    <w:name w:val="Body text (3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6609B"/>
      <w:sz w:val="19"/>
      <w:szCs w:val="19"/>
      <w:u w:val="none"/>
    </w:rPr>
  </w:style>
  <w:style w:type="character" w:customStyle="1" w:styleId="CharStyle7">
    <w:name w:val="Body text_"/>
    <w:basedOn w:val="DefaultParagraphFont"/>
    <w:link w:val="Style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11">
    <w:name w:val="Body text (4)_"/>
    <w:basedOn w:val="DefaultParagraphFont"/>
    <w:link w:val="Style1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CharStyle14">
    <w:name w:val="Picture caption_"/>
    <w:basedOn w:val="DefaultParagraphFont"/>
    <w:link w:val="Style13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92929"/>
      <w:sz w:val="11"/>
      <w:szCs w:val="11"/>
      <w:u w:val="none"/>
    </w:rPr>
  </w:style>
  <w:style w:type="character" w:customStyle="1" w:styleId="CharStyle16">
    <w:name w:val="Header or footer (2)_"/>
    <w:basedOn w:val="DefaultParagraphFont"/>
    <w:link w:val="Style1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lang w:val="en-US" w:eastAsia="en-US"/>
    </w:rPr>
  </w:style>
  <w:style w:type="character" w:customStyle="1" w:styleId="CharStyle20">
    <w:name w:val="Body text (5)_"/>
    <w:basedOn w:val="DefaultParagraphFont"/>
    <w:link w:val="Style19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EBEBEB"/>
      <w:sz w:val="12"/>
      <w:szCs w:val="12"/>
      <w:u w:val="none"/>
    </w:rPr>
  </w:style>
  <w:style w:type="character" w:customStyle="1" w:styleId="CharStyle22">
    <w:name w:val="Body text (2)_"/>
    <w:basedOn w:val="DefaultParagraphFont"/>
    <w:link w:val="Style21"/>
    <w:rPr>
      <w:rFonts w:ascii="Arial" w:eastAsia="Arial" w:hAnsi="Arial" w:cs="Arial"/>
      <w:b w:val="0"/>
      <w:bCs w:val="0"/>
      <w:i w:val="0"/>
      <w:iCs w:val="0"/>
      <w:smallCaps w:val="0"/>
      <w:strike w:val="0"/>
      <w:color w:val="444444"/>
      <w:sz w:val="12"/>
      <w:szCs w:val="12"/>
      <w:u w:val="none"/>
    </w:rPr>
  </w:style>
  <w:style w:type="paragraph" w:customStyle="1" w:styleId="Style2">
    <w:name w:val="Body text (3)"/>
    <w:basedOn w:val="Normal"/>
    <w:link w:val="CharStyle3"/>
    <w:pPr>
      <w:widowControl w:val="0"/>
      <w:shd w:val="clear" w:color="auto" w:fill="auto"/>
      <w:spacing w:after="150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6609B"/>
      <w:sz w:val="19"/>
      <w:szCs w:val="19"/>
      <w:u w:val="none"/>
    </w:rPr>
  </w:style>
  <w:style w:type="paragraph" w:styleId="Style6">
    <w:name w:val="Body text"/>
    <w:basedOn w:val="Normal"/>
    <w:link w:val="CharStyle7"/>
    <w:qFormat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10">
    <w:name w:val="Body text (4)"/>
    <w:basedOn w:val="Normal"/>
    <w:link w:val="CharStyle11"/>
    <w:pPr>
      <w:widowControl w:val="0"/>
      <w:shd w:val="clear" w:color="auto" w:fill="auto"/>
      <w:spacing w:after="17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13">
    <w:name w:val="Picture caption"/>
    <w:basedOn w:val="Normal"/>
    <w:link w:val="CharStyle14"/>
    <w:pPr>
      <w:widowControl w:val="0"/>
      <w:shd w:val="clear" w:color="auto" w:fill="auto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92929"/>
      <w:sz w:val="11"/>
      <w:szCs w:val="11"/>
      <w:u w:val="none"/>
    </w:rPr>
  </w:style>
  <w:style w:type="paragraph" w:customStyle="1" w:styleId="Style15">
    <w:name w:val="Header or footer (2)"/>
    <w:basedOn w:val="Normal"/>
    <w:link w:val="CharStyle16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lang w:val="en-US" w:eastAsia="en-US"/>
    </w:rPr>
  </w:style>
  <w:style w:type="paragraph" w:customStyle="1" w:styleId="Style19">
    <w:name w:val="Body text (5)"/>
    <w:basedOn w:val="Normal"/>
    <w:link w:val="CharStyle20"/>
    <w:pPr>
      <w:widowControl w:val="0"/>
      <w:shd w:val="clear" w:color="auto" w:fill="auto"/>
      <w:spacing w:after="80"/>
      <w:ind w:left="4520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EBEBEB"/>
      <w:sz w:val="12"/>
      <w:szCs w:val="12"/>
      <w:u w:val="none"/>
    </w:rPr>
  </w:style>
  <w:style w:type="paragraph" w:customStyle="1" w:styleId="Style21">
    <w:name w:val="Body text (2)"/>
    <w:basedOn w:val="Normal"/>
    <w:link w:val="CharStyle22"/>
    <w:pPr>
      <w:widowControl w:val="0"/>
      <w:shd w:val="clear" w:color="auto" w:fill="auto"/>
      <w:ind w:left="3820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444444"/>
      <w:sz w:val="12"/>
      <w:szCs w:val="1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header" Target="header1.xml"/><Relationship Id="rId8" Type="http://schemas.openxmlformats.org/officeDocument/2006/relationships/footer" Target="footer1.xml"/><Relationship Id="rId9" Type="http://schemas.openxmlformats.org/officeDocument/2006/relationships/image" Target="media/image2.jpeg"/><Relationship Id="rId10" Type="http://schemas.openxmlformats.org/officeDocument/2006/relationships/image" Target="media/image2.jpeg" TargetMode="External"/><Relationship Id="rId11" Type="http://schemas.openxmlformats.org/officeDocument/2006/relationships/image" Target="media/image3.jpeg"/><Relationship Id="rId12" Type="http://schemas.openxmlformats.org/officeDocument/2006/relationships/image" Target="media/image3.jpeg" TargetMode="External"/><Relationship Id="rId13" Type="http://schemas.openxmlformats.org/officeDocument/2006/relationships/image" Target="media/image4.jpeg"/><Relationship Id="rId14" Type="http://schemas.openxmlformats.org/officeDocument/2006/relationships/image" Target="media/image4.jpeg" TargetMode="External"/></Relationships>
</file>