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3542665</wp:posOffset>
            </wp:positionH>
            <wp:positionV relativeFrom="paragraph">
              <wp:posOffset>60960</wp:posOffset>
            </wp:positionV>
            <wp:extent cx="506095" cy="53657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060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</w:t>
        <w:br/>
        <w:t>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8"/>
          <w:lang w:val="ru-RU" w:eastAsia="ru-RU"/>
        </w:rPr>
        <w:t xml:space="preserve">ул. Московская, д. </w:t>
      </w:r>
      <w:r>
        <w:rPr>
          <w:rStyle w:val="CharStyle8"/>
        </w:rPr>
        <w:t xml:space="preserve">55, </w:t>
      </w:r>
      <w:r>
        <w:rPr>
          <w:rStyle w:val="CharStyle8"/>
          <w:lang w:val="ru-RU" w:eastAsia="ru-RU"/>
        </w:rPr>
        <w:t xml:space="preserve">г. Казань, </w:t>
      </w:r>
      <w:r>
        <w:rPr>
          <w:rStyle w:val="CharStyle8"/>
        </w:rPr>
        <w:t>420021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531" w:val="left"/>
          <w:tab w:leader="underscore" w:pos="3005" w:val="left"/>
          <w:tab w:leader="underscore" w:pos="3006" w:val="left"/>
          <w:tab w:leader="underscore" w:pos="30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/>
        </w:rPr>
        <w:tab/>
        <w:t xml:space="preserve"> _№ </w:t>
        <w:tab/>
        <w:t xml:space="preserve"> </w:t>
      </w:r>
      <w:r>
        <w:rPr>
          <w:rStyle w:val="CharStyle3"/>
        </w:rPr>
        <w:t xml:space="preserve">На </w:t>
      </w:r>
      <w:r>
        <w:rPr>
          <w:rStyle w:val="CharStyle3"/>
          <w:lang w:val="en-US" w:eastAsia="en-US"/>
        </w:rPr>
        <w:t>№</w:t>
        <w:tab/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ФЕДЕРАЛЬ </w:t>
      </w:r>
      <w:r>
        <w:rPr>
          <w:rStyle w:val="CharStyle3"/>
          <w:b/>
          <w:bCs/>
          <w:lang w:val="en-US" w:eastAsia="en-US"/>
        </w:rPr>
        <w:t>ХЕЗМӘТНЕҢ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3"/>
          <w:b/>
          <w:bCs/>
        </w:rPr>
        <w:t>Татарстан Республикасы</w:t>
        <w:br/>
      </w:r>
      <w:r>
        <w:rPr>
          <w:rStyle w:val="CharStyle3"/>
          <w:b/>
          <w:bCs/>
          <w:lang w:val="en-US" w:eastAsia="en-US"/>
        </w:rPr>
        <w:t>ИДАРӘСЕ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42" w:right="1493" w:bottom="1082" w:left="1278" w:header="0" w:footer="3" w:gutter="0"/>
          <w:pgNumType w:start="1"/>
          <w:cols w:num="2" w:space="2650"/>
          <w:noEndnote/>
          <w:titlePg/>
          <w:rtlGutter w:val="0"/>
          <w:docGrid w:linePitch="360"/>
        </w:sectPr>
      </w:pPr>
      <w:r>
        <w:rPr>
          <w:rStyle w:val="CharStyle8"/>
          <w:lang w:val="ru-RU" w:eastAsia="ru-RU"/>
        </w:rPr>
        <w:t xml:space="preserve">Московский ур., </w:t>
      </w:r>
      <w:r>
        <w:rPr>
          <w:rStyle w:val="CharStyle8"/>
        </w:rPr>
        <w:t xml:space="preserve">55 </w:t>
      </w:r>
      <w:r>
        <w:rPr>
          <w:rStyle w:val="CharStyle8"/>
          <w:lang w:val="ru-RU" w:eastAsia="ru-RU"/>
        </w:rPr>
        <w:t xml:space="preserve">йортКазан </w:t>
      </w:r>
      <w:r>
        <w:rPr>
          <w:rStyle w:val="CharStyle8"/>
        </w:rPr>
        <w:t>шәһәре, 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rStyle w:val="CharStyle11"/>
        </w:rPr>
        <w:t>Заказчик: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rStyle w:val="CharStyle11"/>
        </w:rPr>
        <w:t>ГКУ «ГИСУ РТ»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260" w:right="0" w:firstLine="0"/>
        <w:jc w:val="both"/>
      </w:pPr>
      <w:r>
        <w:fldChar w:fldCharType="begin"/>
      </w:r>
      <w:r>
        <w:rPr/>
        <w:instrText> HYPERLINK "mailto:Ibragimov.Aynur@tatar.ru" </w:instrText>
      </w:r>
      <w:r>
        <w:fldChar w:fldCharType="separate"/>
      </w:r>
      <w:r>
        <w:rPr>
          <w:rStyle w:val="CharStyle11"/>
          <w:lang w:val="en-US" w:eastAsia="en-US"/>
        </w:rPr>
        <w:t>Ibragimov.Aynur@tatar.ru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rStyle w:val="CharStyle11"/>
        </w:rPr>
        <w:t>Заявитель: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rStyle w:val="CharStyle11"/>
        </w:rPr>
        <w:t>ООО «Стройка»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260" w:right="0" w:firstLine="0"/>
        <w:jc w:val="both"/>
      </w:pPr>
      <w:r>
        <w:fldChar w:fldCharType="begin"/>
      </w:r>
      <w:r>
        <w:rPr/>
        <w:instrText> HYPERLINK "mailto:ooo.stroykan@yandex.ru" </w:instrText>
      </w:r>
      <w:r>
        <w:fldChar w:fldCharType="separate"/>
      </w:r>
      <w:r>
        <w:rPr>
          <w:rStyle w:val="CharStyle11"/>
          <w:lang w:val="en-US" w:eastAsia="en-US"/>
        </w:rPr>
        <w:t>ooo.stroykan@yandex.ru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  <w:b/>
          <w:bCs/>
        </w:rPr>
        <w:t xml:space="preserve">Решение по делу </w:t>
      </w:r>
      <w:r>
        <w:rPr>
          <w:rStyle w:val="CharStyle11"/>
          <w:b/>
          <w:bCs/>
          <w:lang w:val="en-US" w:eastAsia="en-US"/>
        </w:rPr>
        <w:t>№016/06/49-1270/2025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6395085</wp:posOffset>
                </wp:positionH>
                <wp:positionV relativeFrom="paragraph">
                  <wp:posOffset>12700</wp:posOffset>
                </wp:positionV>
                <wp:extent cx="71628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3.55000000000001pt;margin-top:1.pt;width:56.399999999999999pt;height:17.05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  <w:lang w:val="en-US" w:eastAsia="en-US"/>
        </w:rPr>
        <w:t xml:space="preserve">28 </w:t>
      </w:r>
      <w:r>
        <w:rPr>
          <w:rStyle w:val="CharStyle11"/>
        </w:rPr>
        <w:t xml:space="preserve">августа </w:t>
      </w:r>
      <w:r>
        <w:rPr>
          <w:rStyle w:val="CharStyle11"/>
          <w:lang w:val="en-US" w:eastAsia="en-US"/>
        </w:rPr>
        <w:t xml:space="preserve">2025 </w:t>
      </w:r>
      <w:r>
        <w:rPr>
          <w:rStyle w:val="CharStyle11"/>
        </w:rPr>
        <w:t>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082" w:val="left"/>
        </w:tabs>
        <w:bidi w:val="0"/>
        <w:spacing w:before="0" w:after="0" w:line="240" w:lineRule="auto"/>
        <w:ind w:left="0" w:right="0" w:firstLine="840"/>
        <w:jc w:val="left"/>
      </w:pPr>
      <w:r>
        <w:rPr>
          <w:rStyle w:val="CharStyle11"/>
        </w:rPr>
        <w:t>Зам. председателя Комиссии:</w:t>
        <w:tab/>
        <w:t xml:space="preserve">Кучеевой А.С.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начальник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both"/>
      </w:pPr>
      <w:r>
        <w:rPr>
          <w:rStyle w:val="CharStyle11"/>
        </w:rPr>
        <w:t>отдела,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082" w:val="left"/>
        </w:tabs>
        <w:bidi w:val="0"/>
        <w:spacing w:before="0" w:after="0" w:line="240" w:lineRule="auto"/>
        <w:ind w:left="0" w:right="0" w:firstLine="840"/>
        <w:jc w:val="left"/>
      </w:pPr>
      <w:r>
        <w:rPr>
          <w:rStyle w:val="CharStyle11"/>
        </w:rPr>
        <w:t>Членов Комиссии:</w:t>
        <w:tab/>
        <w:t xml:space="preserve">Абдуллиной Э.И.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ведущий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both"/>
      </w:pPr>
      <w:r>
        <w:rPr>
          <w:rStyle w:val="CharStyle11"/>
        </w:rPr>
        <w:t>специалист-эксперт,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both"/>
      </w:pPr>
      <w:r>
        <w:rPr>
          <w:rStyle w:val="CharStyle11"/>
        </w:rPr>
        <w:t xml:space="preserve">Никитиной И.Г.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ведущий специалист-эксперт,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присутствии: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Заказчика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Ибрагимова А.Д. (по доверенности).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1"/>
        </w:rPr>
        <w:t xml:space="preserve">в отсутствие представителей заявителя, о месте и времени рассмотрения жалобы, извещенных надлежащим образом, рассмотрев посредством видеоконференции жалобу заявителя ООО «Стройка» (вх. №9034/ж от 25.08.2025г., ЕИС от 22.08.2025г.) на действия заказчика при проведении закупки </w:t>
      </w:r>
      <w:r>
        <w:rPr>
          <w:rStyle w:val="CharStyle11"/>
          <w:lang w:val="en-US" w:eastAsia="en-US"/>
        </w:rPr>
        <w:t xml:space="preserve">№ 0311200014625000091 </w:t>
      </w:r>
      <w:r>
        <w:rPr>
          <w:rStyle w:val="CharStyle11"/>
        </w:rPr>
        <w:t>на предмет: «Выполнение работ по благоустройству»,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</w:rPr>
        <w:t>У С Т А Н О В И Л 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1"/>
        </w:rPr>
        <w:t xml:space="preserve">Извещение о проведении закупки </w:t>
      </w:r>
      <w:r>
        <w:rPr>
          <w:rStyle w:val="CharStyle11"/>
          <w:lang w:val="en-US" w:eastAsia="en-US"/>
        </w:rPr>
        <w:t xml:space="preserve">№ 0311200014625000091 </w:t>
      </w:r>
      <w:r>
        <w:rPr>
          <w:rStyle w:val="CharStyle11"/>
        </w:rPr>
        <w:t xml:space="preserve">на предмет: «Выполнение работ по благоустройству» размещено на официальном сайте Российской Федерации для размещения информации о размещении заказов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www.zakupki.gov.ru</w:t>
      </w:r>
      <w:r>
        <w:rPr>
          <w:rStyle w:val="CharStyle11"/>
          <w:color w:val="0000FF"/>
          <w:lang w:val="en-US" w:eastAsia="en-US"/>
        </w:rPr>
        <w:t xml:space="preserve"> </w:t>
      </w:r>
      <w:r>
        <w:fldChar w:fldCharType="end"/>
      </w:r>
      <w:r>
        <w:rPr>
          <w:rStyle w:val="CharStyle11"/>
          <w:lang w:val="en-US" w:eastAsia="en-US"/>
        </w:rPr>
        <w:t>07.08.2025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Окончание подачи заявок </w:t>
      </w:r>
      <w:r>
        <w:rPr>
          <w:rStyle w:val="CharStyle11"/>
          <w:lang w:val="en-US" w:eastAsia="en-US"/>
        </w:rPr>
        <w:t>15.08.2025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Начальная (максимальная) цена контракта </w:t>
      </w:r>
      <w:r>
        <w:rPr>
          <w:rStyle w:val="CharStyle11"/>
          <w:lang w:val="en-US" w:eastAsia="en-US"/>
        </w:rPr>
        <w:t xml:space="preserve">91 073 397,40 </w:t>
      </w:r>
      <w:r>
        <w:rPr>
          <w:rStyle w:val="CharStyle11"/>
        </w:rPr>
        <w:t>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 участие в аукционе подано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заявки участников закупки, из которых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признана соответствующей требованиям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Согласно доводу Заявителя Комиссией по осуществлению закупок неправомерно отклонена заявка Заявителя ввиду отсутствия в составе заявки подтверждения опыта выполнения работ.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  <w:b/>
          <w:bCs/>
        </w:rPr>
        <w:t>Комиссия Татарстанского УФАС России по результатам рассмотрения доводов заявителя, и изучения документации аукциона приходит к следующим выводам.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>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Закона о контрактной системе установлено, что в случае установления Правительством Российской Федерации в соответствии с частью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>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</w:t>
      </w:r>
      <w:r>
        <w:rPr>
          <w:rStyle w:val="CharStyle11"/>
          <w:lang w:val="en-US" w:eastAsia="en-US"/>
        </w:rPr>
        <w:t>N 2571.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абзацем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подпункта "б"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N 2571 </w:t>
      </w:r>
      <w:r>
        <w:rPr>
          <w:rStyle w:val="CharStyle11"/>
        </w:rPr>
        <w:t xml:space="preserve">предусмотренные приложением в графе "Информация и документы, подтверждающие соответствие участников закупки дополнительным требованиям"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приложениями, за исключением случаев, предусмотренных абзацами шестым и седьмым подпункта "г"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N 2571. </w:t>
      </w:r>
      <w:r>
        <w:rPr>
          <w:rStyle w:val="CharStyle11"/>
        </w:rPr>
        <w:t>При проведении предусмотренных Законом о контрактной системе электронных процедур,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документов. При проведении закрытого конкурса, закрытого аукциона направляются документы или заверенные участником закупки их копии.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позиции </w:t>
      </w:r>
      <w:r>
        <w:rPr>
          <w:rStyle w:val="CharStyle11"/>
          <w:lang w:val="en-US" w:eastAsia="en-US"/>
        </w:rPr>
        <w:t xml:space="preserve">9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к Постановлению </w:t>
      </w:r>
      <w:r>
        <w:rPr>
          <w:rStyle w:val="CharStyle11"/>
          <w:lang w:val="en-US" w:eastAsia="en-US"/>
        </w:rPr>
        <w:t xml:space="preserve">N 2571 </w:t>
      </w:r>
      <w:r>
        <w:rPr>
          <w:rStyle w:val="CharStyle11"/>
        </w:rPr>
        <w:t>установлено, что в случае проведения закупки на проведение работ по строительству некапитального строения, сооружения (строений, сооружений), благоустройству территории к участникам закупки предъявляются дополнительные требования о наличии у участника закупки одного из следующих видов опыта выполнения работ: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Цена выполненных работ по договорам, предусмотренных пунктами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или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настоящей графы настоящей позиции, цена выполненных работ, предусмотренных пунктом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настоящей графы настоящей позиции, должна составлять не менее </w:t>
      </w:r>
      <w:r>
        <w:rPr>
          <w:rStyle w:val="CharStyle11"/>
          <w:lang w:val="en-US" w:eastAsia="en-US"/>
        </w:rPr>
        <w:t xml:space="preserve">20 </w:t>
      </w:r>
      <w:r>
        <w:rPr>
          <w:rStyle w:val="CharStyle11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Документами, подтверждающими соответствие участника закупки дополнительным требованиям в случае наличия опыта, предусмотренного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графы «Дополнительные требования к участникам закупки» настоящей позиции являются: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исполненный договор;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акт выполненных работ, подтверждающий цену выполненных работ.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случае наличия опыта, предусмотренного 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>граф «Дополнительные требования к участникам закупки» настоящей позиции: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исполненный договор;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1"/>
          <w:lang w:val="en-US" w:eastAsia="en-US"/>
        </w:rPr>
        <w:t xml:space="preserve">1 - 8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1"/>
          <w:lang w:val="en-US" w:eastAsia="en-US"/>
        </w:rPr>
        <w:t xml:space="preserve">1, 2, 4 - 7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>17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>Пунктом 1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В извещении рассматриваемой закупки установлены дополнительные требования к участникам закупки в соответствии с позицией 9 приложения к Постановлению </w:t>
      </w:r>
      <w:r>
        <w:rPr>
          <w:rStyle w:val="CharStyle11"/>
          <w:lang w:val="en-US" w:eastAsia="en-US"/>
        </w:rPr>
        <w:t xml:space="preserve">N </w:t>
      </w:r>
      <w:r>
        <w:rPr>
          <w:rStyle w:val="CharStyle11"/>
        </w:rPr>
        <w:t>2571.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Согласно протоколу подведения итогов определения поставщика (подрядчика, исполнителя) от 18.08.2025 </w:t>
      </w:r>
      <w:r>
        <w:rPr>
          <w:rStyle w:val="CharStyle11"/>
          <w:lang w:val="en-US" w:eastAsia="en-US"/>
        </w:rPr>
        <w:t xml:space="preserve">N </w:t>
      </w:r>
      <w:r>
        <w:rPr>
          <w:rStyle w:val="CharStyle11"/>
        </w:rPr>
        <w:t>ИЭА1 заявка Заявителя признана несоответствующей требованиям Извещения по следующему основанию: «Несоответствие участника закупки требованиям, установленным в извещении об осуществлении закупки согласно ч. 2 (документы, подтверждающие соответствие доп. требованиям) статьи 31 Закона №44-ФЗ. Отклонение по п.3 ч.12 ст. 48 Закона №44-ФЗ.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В соответствии с пп. "а" п. 1 ч. 5 ст. 49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отклонена заявка (идентификационный номер заявки №2273588) на участие в закупке по основанию, предусмотренному п.3 ч.12 ст. 48 Закона о контрактной системе (несоответствие участника закупки требованиям, установленным в извещении об осуществлении закупки в соответствии с частью 2 статьи 31 Закона о контрактной системе), а именно: участник закупки не представил подтверждение опыта выполнения работ по позиции 9 раздела </w:t>
      </w:r>
      <w:r>
        <w:rPr>
          <w:rStyle w:val="CharStyle11"/>
          <w:lang w:val="en-US" w:eastAsia="en-US"/>
        </w:rPr>
        <w:t xml:space="preserve">II </w:t>
      </w:r>
      <w:r>
        <w:rPr>
          <w:rStyle w:val="CharStyle11"/>
        </w:rPr>
        <w:t xml:space="preserve">приложения к ПП РФ от 29.12.2021 № 2571; в заявке отсутствует контракт/договор заключенный и исполненный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от 05.04.2013 </w:t>
      </w:r>
      <w:r>
        <w:rPr>
          <w:rStyle w:val="CharStyle11"/>
          <w:lang w:val="en-US" w:eastAsia="en-US"/>
        </w:rPr>
        <w:t xml:space="preserve">N </w:t>
      </w:r>
      <w:r>
        <w:rPr>
          <w:rStyle w:val="CharStyle11"/>
        </w:rPr>
        <w:t xml:space="preserve">44-ФЗ, либо, заключенный и исполненный в соответствии с Федеральный законом «О закупках товаров, работ, услуг отдельными видами юридических лиц» от 18.07.2011 </w:t>
      </w:r>
      <w:r>
        <w:rPr>
          <w:rStyle w:val="CharStyle11"/>
          <w:lang w:val="en-US" w:eastAsia="en-US"/>
        </w:rPr>
        <w:t xml:space="preserve">N </w:t>
      </w:r>
      <w:r>
        <w:rPr>
          <w:rStyle w:val="CharStyle11"/>
        </w:rPr>
        <w:t>223-ФЗ.».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>Согласно пояснениям заказчика, представленный заявителем в качестве подтверждения соответствия дополнительным требованиям договор не принят к учету ввиду непредставления участником технического плана объекта капитального строительства и всех приложений к договору.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  <w:i/>
          <w:iCs/>
        </w:rPr>
        <w:t>Комиссия Татарстанского УФАС России приходит к следующему.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Согласно информации представленной заказчиком, а также в соответствии со сведениями, полученными через плагин ГИС «Независимый регистратор» Заявителем в качестве подтверждения опыта представлен договор №14-СМР/20 от </w:t>
      </w:r>
      <w:r>
        <w:rPr>
          <w:rStyle w:val="CharStyle11"/>
          <w:lang w:val="en-US" w:eastAsia="en-US"/>
        </w:rPr>
        <w:t xml:space="preserve">07 </w:t>
      </w:r>
      <w:r>
        <w:rPr>
          <w:rStyle w:val="CharStyle11"/>
        </w:rPr>
        <w:t xml:space="preserve">сентября </w:t>
      </w:r>
      <w:r>
        <w:rPr>
          <w:rStyle w:val="CharStyle11"/>
          <w:lang w:val="en-US" w:eastAsia="en-US"/>
        </w:rPr>
        <w:t xml:space="preserve">2020 </w:t>
      </w:r>
      <w:r>
        <w:rPr>
          <w:rStyle w:val="CharStyle11"/>
        </w:rPr>
        <w:t xml:space="preserve">года на выполнение работ по строительству склада Корпус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(1-ая очередь) по адресу: </w:t>
      </w:r>
      <w:r>
        <w:rPr>
          <w:rStyle w:val="CharStyle11"/>
          <w:lang w:val="en-US" w:eastAsia="en-US"/>
        </w:rPr>
        <w:t xml:space="preserve">196210, </w:t>
      </w:r>
      <w:r>
        <w:rPr>
          <w:rStyle w:val="CharStyle11"/>
        </w:rPr>
        <w:t>г. Санкт Петербург, вн.тер.г. муниципальный округ Пулковской Меридиан, ул. Пилотов, д.34, стр.9, разрешение на ввод объекта в эксплуатацию, КС-11, КС-3, КС-2.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Согласно пунктам </w:t>
      </w:r>
      <w:r>
        <w:rPr>
          <w:rStyle w:val="CharStyle11"/>
          <w:lang w:val="en-US" w:eastAsia="en-US"/>
        </w:rPr>
        <w:t xml:space="preserve">3.1, 3.3 </w:t>
      </w:r>
      <w:r>
        <w:rPr>
          <w:rStyle w:val="CharStyle11"/>
        </w:rPr>
        <w:t>вышеуказанного договора порядок выполнения работ по договору определяется ТЗ и Календарным планом. Перечень научной, технической и другой документации, подлежащей сдаче Исполнителем Заказчику на отдельных этапах выполнения и по окончании Договора, определен Календарным планом.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Согласно пункту </w:t>
      </w:r>
      <w:r>
        <w:rPr>
          <w:rStyle w:val="CharStyle11"/>
          <w:lang w:val="en-US" w:eastAsia="en-US"/>
        </w:rPr>
        <w:t xml:space="preserve">5.3 </w:t>
      </w:r>
      <w:r>
        <w:rPr>
          <w:rStyle w:val="CharStyle11"/>
        </w:rPr>
        <w:t>вышеуказанного договора все приложения к настоящему договору являются его неотъемлемой частью.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>Комиссия Татарстанского УФАС России отмечает, что в рассматриваемом договоре не определен список приложений к настоящему договору, вместе с тем как следует из смысла положений указанного договора техническое задание, а также календарный план в которых указан порядок выполнения работ по договору являются его приложениями.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Вместе с тем, в Постановлении </w:t>
      </w:r>
      <w:r>
        <w:rPr>
          <w:rStyle w:val="CharStyle11"/>
          <w:lang w:val="en-US" w:eastAsia="en-US"/>
        </w:rPr>
        <w:t xml:space="preserve">N 2571 </w:t>
      </w:r>
      <w:r>
        <w:rPr>
          <w:rStyle w:val="CharStyle11"/>
        </w:rPr>
        <w:t>содержится требование о необходимости направления информации и документов в полном объеме и со всеми приложениями.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При этом Заявителем </w:t>
      </w:r>
      <w:r>
        <w:rPr>
          <w:rStyle w:val="CharStyle11"/>
          <w:u w:val="single"/>
        </w:rPr>
        <w:t xml:space="preserve">не представлены все приложения, указанные в Договоре, что не соответствует положениям Постановления </w:t>
      </w:r>
      <w:r>
        <w:rPr>
          <w:rStyle w:val="CharStyle11"/>
          <w:u w:val="single"/>
          <w:lang w:val="en-US" w:eastAsia="en-US"/>
        </w:rPr>
        <w:t>N 2571.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>В части непредставления технического плана Комиссия отмечает, что одним из документов, подтверждающих соответствие участника закупки дополнительным требованиям, в том числе, является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Согласно форме разрешения на ввод объекта в эксплуатацию, утвержденной Приказом Минстроя России от </w:t>
      </w:r>
      <w:r>
        <w:rPr>
          <w:rStyle w:val="CharStyle11"/>
          <w:lang w:val="en-US" w:eastAsia="en-US"/>
        </w:rPr>
        <w:t xml:space="preserve">19.02.2015 N </w:t>
      </w:r>
      <w:r>
        <w:rPr>
          <w:rStyle w:val="CharStyle11"/>
        </w:rPr>
        <w:t>117/пр «Об утверждении формы разрешения на строительство и формы разрешения на ввод объекта в эксплуатацию» (действовала на момент выдачи разрешения заявителю дату укажи) разрешение на ввод объекта в эксплуатацию недействительно без технического плана.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Вместе с тем, такой технический план является основанием для осуществления государственного кадастрового учета и (или) государственной регистрации прав на недвижимое имущество (статья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13.07.2015 N </w:t>
      </w:r>
      <w:r>
        <w:rPr>
          <w:rStyle w:val="CharStyle11"/>
        </w:rPr>
        <w:t>218-ФЗ «О государственной регистрации недвижимости»).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Таким образом, учитывая, что в Постановлении </w:t>
      </w:r>
      <w:r>
        <w:rPr>
          <w:rStyle w:val="CharStyle11"/>
          <w:lang w:val="en-US" w:eastAsia="en-US"/>
        </w:rPr>
        <w:t xml:space="preserve">N 2571 </w:t>
      </w:r>
      <w:r>
        <w:rPr>
          <w:rStyle w:val="CharStyle11"/>
        </w:rPr>
        <w:t>не содержится требование о предоставлении технического плана объекта капитального строительства, а также то, что указанный план нужен для осуществления государственного кадастрового учета и (или) государственной регистрации прав на недвижимое имущество, представление участником закупки технического плана,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являющегося приложением к разрешению на ввод объекта капитального строительства в эксплуатацию не требуется, а, следовательно, его отсутствие не может являться формальным основанием для отказа в допуске такого участника к участию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Учитывая вышеизложенные обстоятельства, Комиссия Татарстанского УФАС России приходит к выводу, что заявка участника подлежала отклонению в связи с представлением Договора не в полном объеме, участник не подтвердил свое соответствие дополнительным требованиям, установленным в Постановлении </w:t>
      </w:r>
      <w:r>
        <w:rPr>
          <w:rStyle w:val="CharStyle11"/>
          <w:lang w:val="en-US" w:eastAsia="en-US"/>
        </w:rPr>
        <w:t>N 2571.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Таким образом, действия заказчика не противоречат положениям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ООО «Стройка» не обеспечили явку представителя на заседание Комиссии, а также Обществом не представлены материалы, подтверждающие направление приложений к договору.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Жалоба заявителя признана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вышеизложенного, руководствуясь частью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</w:t>
      </w:r>
      <w:r>
        <w:rPr>
          <w:rStyle w:val="CharStyle11"/>
        </w:rPr>
        <w:t>44-ФЗ "О контрактной системе в сфере закупок товаров, работ, услуг для обеспечения государственных и муниципальных нужд",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</w:rPr>
        <w:t>РЕШИЛА: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 xml:space="preserve">Признать жалобу ООО «Стройка» (вх. №9034/ж от 25.08.2025г., ЕИС от 22.08.2025г.) на действия заказчика при проведении закупки </w:t>
      </w:r>
      <w:r>
        <w:rPr>
          <w:rStyle w:val="CharStyle19"/>
          <w:lang w:val="en-US" w:eastAsia="en-US"/>
        </w:rPr>
        <w:t xml:space="preserve">№ 0311200014625000091 </w:t>
      </w:r>
      <w:r>
        <w:rPr>
          <w:rStyle w:val="CharStyle19"/>
        </w:rPr>
        <w:t>на предмет: «Выполнение работ по благоустройству» необоснованной.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541135" cy="3919855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541135" cy="391985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5" w:right="499" w:bottom="1093" w:left="107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255270</wp:posOffset>
              </wp:positionH>
              <wp:positionV relativeFrom="page">
                <wp:posOffset>10309860</wp:posOffset>
              </wp:positionV>
              <wp:extent cx="4718050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1805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04-04/8142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29.08.2025.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Абдуллина Э.И.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29.08.2025 13:36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0.100000000000001pt;margin-top:811.80000000000007pt;width:371.5pt;height:18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04-04/8142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29.08.2025.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Абдуллина Э.И.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29.08.2025 13:36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1905</wp:posOffset>
              </wp:positionH>
              <wp:positionV relativeFrom="page">
                <wp:posOffset>10192385</wp:posOffset>
              </wp:positionV>
              <wp:extent cx="75622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0.14999999999999999pt;margin-top:802.55000000000007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250825</wp:posOffset>
              </wp:positionH>
              <wp:positionV relativeFrom="page">
                <wp:posOffset>10391140</wp:posOffset>
              </wp:positionV>
              <wp:extent cx="4718050" cy="23177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1805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04-04/8142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29.08.2025.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Абдуллина Э.И.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29.08.2025 13:36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.75pt;margin-top:818.20000000000005pt;width:371.5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04-04/8142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29.08.2025.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Абдуллина Э.И.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29.08.2025 13:36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-2540</wp:posOffset>
              </wp:positionH>
              <wp:positionV relativeFrom="page">
                <wp:posOffset>10273665</wp:posOffset>
              </wp:positionV>
              <wp:extent cx="756221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20000000000000001pt;margin-top:808.9500000000000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410210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0000000000001pt;margin-top:32.299999999999997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