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Волгоградской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7-я Гвардейская, д. 12, г. Волгоград, 400005</w:t>
        <w:br/>
        <w:t>тел. (8442) 24-22-65, факс (8442) 24-22-76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"mailto:to34@fas.gov.ru" </w:instrText>
      </w:r>
      <w:r>
        <w:fldChar w:fldCharType="separate"/>
      </w:r>
      <w:r>
        <w:rPr>
          <w:rStyle w:val="CharStyle6"/>
          <w:lang w:val="en-US" w:eastAsia="en-US"/>
        </w:rPr>
        <w:t>to34@fas.gov.ru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sz w:val="20"/>
          <w:szCs w:val="20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На№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ГБУЗ "Волгоградская областная детская клиническая больница"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ул. Землячки, д. 76, Волгоград, 400138 </w:t>
      </w:r>
      <w:r>
        <w:fldChar w:fldCharType="begin"/>
      </w:r>
      <w:r>
        <w:rPr/>
        <w:instrText> HYPERLINK "mailto:vodkb@volganet.ru" </w:instrText>
      </w:r>
      <w:r>
        <w:fldChar w:fldCharType="separate"/>
      </w:r>
      <w:r>
        <w:rPr>
          <w:rStyle w:val="CharStyle14"/>
          <w:lang w:val="en-US" w:eastAsia="en-US"/>
        </w:rPr>
        <w:t>vodkb@volganet.ru</w:t>
      </w:r>
      <w:r>
        <w:fldChar w:fldCharType="end"/>
      </w:r>
      <w:r>
        <w:rPr>
          <w:rStyle w:val="CharStyle14"/>
          <w:lang w:val="en-US" w:eastAsia="en-US"/>
        </w:rPr>
        <w:t xml:space="preserve">; </w:t>
      </w:r>
      <w:r>
        <w:fldChar w:fldCharType="begin"/>
      </w:r>
      <w:r>
        <w:rPr/>
        <w:instrText> HYPERLINK "mailto:guzodkb@mail.ru" </w:instrText>
      </w:r>
      <w:r>
        <w:fldChar w:fldCharType="separate"/>
      </w:r>
      <w:r>
        <w:rPr>
          <w:rStyle w:val="CharStyle14"/>
          <w:lang w:val="en-US" w:eastAsia="en-US"/>
        </w:rPr>
        <w:t>guzodkb@mail.ru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БОГАТЫРЁВА ЛЮДМИЛА ИВАНОВНА 427305, УДМУРТСКАЯ РЕСПУБЛИКА ВАВОЖСКИЙ РАЙОН, С КАКМОЖ, УЛ ЗЕМЛЯНИЧНАЯ, Д. 18, КВ. 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"mailto:Gps-eka@mail.ru" </w:instrText>
      </w:r>
      <w:r>
        <w:fldChar w:fldCharType="separate"/>
      </w:r>
      <w:r>
        <w:rPr>
          <w:rStyle w:val="CharStyle14"/>
          <w:lang w:val="en-US" w:eastAsia="en-US"/>
        </w:rPr>
        <w:t>Gps-eka@mail.ru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OOO </w:t>
      </w:r>
      <w:r>
        <w:rPr>
          <w:rStyle w:val="CharStyle14"/>
        </w:rPr>
        <w:t>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>наб. Тараса Шевченко, д. 23А, пом. 1,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ГКУ ВО "Центр организации закупок" ул. Новороссийская, д. 15, Волгоград, 400066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79" w:right="819" w:bottom="1313" w:left="1135" w:header="0" w:footer="3" w:gutter="0"/>
          <w:pgNumType w:start="1"/>
          <w:cols w:num="2" w:space="720" w:equalWidth="0">
            <w:col w:w="4099" w:space="1171"/>
            <w:col w:w="4675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"mailto:coz@volganet.ru" </w:instrText>
      </w:r>
      <w:r>
        <w:fldChar w:fldCharType="separate"/>
      </w:r>
      <w:r>
        <w:rPr>
          <w:rStyle w:val="CharStyle14"/>
          <w:lang w:val="en-US" w:eastAsia="en-US"/>
        </w:rPr>
        <w:t>coz@volganet.ru</w:t>
      </w:r>
      <w:r>
        <w:fldChar w:fldCharType="end"/>
      </w:r>
    </w:p>
    <w:p>
      <w:pPr>
        <w:widowControl w:val="0"/>
        <w:spacing w:line="128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52" w:right="0" w:bottom="9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4"/>
        </w:rPr>
        <w:t>по делу № 034/06/105-1121/2025</w:t>
        <w:br/>
        <w:t>о нарушении 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6426835</wp:posOffset>
                </wp:positionH>
                <wp:positionV relativeFrom="paragraph">
                  <wp:posOffset>12700</wp:posOffset>
                </wp:positionV>
                <wp:extent cx="755650" cy="23177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56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Волгоград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6.05000000000001pt;margin-top:1.pt;width:59.5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Волгоград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29 августа 2025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 Волгоградской области (далее – Волгоградское УФАС России, Управление) по контролю за соблюдением 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 участием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ИП Богатыревой Людмилы Ивановны;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ГКУ ВО «Центр организации закупок»,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4"/>
        </w:rPr>
        <w:t>рассмотрев жалобу ИП Богатыревой Людмилы Ивановны (далее – Заявитель) вх. № 10021/25 от 25.08.2025 на действия комиссии при проведении запроса котировок в электронной форме «Поставка детского оборудования для обеспечения деятельности пунктов проката (кровать детская, пеленальный столик, манеж-кровать, коляска детская)» (номер извещения 0329200062225007407),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4"/>
        </w:rPr>
        <w:t xml:space="preserve">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(далее – ЕИС) 12.08.2025 было размещено извещение о проведении запроса котировок в электронной форме «Поставка детского оборудования для обеспечения деятельности пунктов проката (кровать детская,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пеленальный столик, манеж-кровать, коляска детская)» (номер извещения </w:t>
      </w:r>
      <w:r>
        <w:rPr>
          <w:rStyle w:val="CharStyle14"/>
          <w:lang w:val="en-US" w:eastAsia="en-US"/>
        </w:rPr>
        <w:t xml:space="preserve">0329200062225007407). </w:t>
      </w: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– 3 047 050,00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доводу жалобы комиссией по осуществлению закупок нарушены положения 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 путем неправомерного признания заявки Заявителя несоответствующей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 мнению Заявителя, заявка ИП Богатыревой Людмилы Ивановны неправомерно признана несоответствующей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ч.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4"/>
          <w:lang w:val="en-US" w:eastAsia="en-US"/>
        </w:rPr>
        <w:t xml:space="preserve">1 - 8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настоящего Федерального закона;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решения,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 xml:space="preserve">настоящего Федерального закона), предложенных участником закупки, подавшим такую заявку, с учетом положений нормативных правовых актов, принятых в соответствии со статьей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или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4"/>
          <w:lang w:val="en-US" w:eastAsia="en-US"/>
        </w:rPr>
        <w:t xml:space="preserve">1, 2, 4 - 7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при рассмотрении вторых частей заявок на участие в закупке соответствующая заявка подлежит отклонению на основаниях, предусмотренных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07.08.2025 </w:t>
      </w:r>
      <w:r>
        <w:rPr>
          <w:rStyle w:val="CharStyle14"/>
        </w:rPr>
        <w:t xml:space="preserve">№ИЭА1 заявка Заявителя подлежит отклонению на основании п.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системе: «Заявка содержит недостоверную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информацию, а именно: в связи с отказом в принятии независимой гарантии, согласно п.2 ч.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 </w:t>
      </w:r>
      <w:r>
        <w:rPr>
          <w:rStyle w:val="CharStyle14"/>
        </w:rPr>
        <w:t xml:space="preserve">апреля </w:t>
      </w:r>
      <w:r>
        <w:rPr>
          <w:rStyle w:val="CharStyle14"/>
          <w:lang w:val="en-US" w:eastAsia="en-US"/>
        </w:rPr>
        <w:t xml:space="preserve">2013 </w:t>
      </w:r>
      <w:r>
        <w:rPr>
          <w:rStyle w:val="CharStyle14"/>
        </w:rPr>
        <w:t xml:space="preserve">года №44-ФЗ, а именно несоответствие независимой гарантии требованиям, предусмотренным ч. </w:t>
      </w:r>
      <w:r>
        <w:rPr>
          <w:rStyle w:val="CharStyle14"/>
          <w:lang w:val="en-US" w:eastAsia="en-US"/>
        </w:rPr>
        <w:t xml:space="preserve">8.2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 </w:t>
      </w:r>
      <w:r>
        <w:rPr>
          <w:rStyle w:val="CharStyle14"/>
        </w:rPr>
        <w:t xml:space="preserve">апреля </w:t>
      </w:r>
      <w:r>
        <w:rPr>
          <w:rStyle w:val="CharStyle14"/>
          <w:lang w:val="en-US" w:eastAsia="en-US"/>
        </w:rPr>
        <w:t xml:space="preserve">2013 </w:t>
      </w:r>
      <w:r>
        <w:rPr>
          <w:rStyle w:val="CharStyle14"/>
        </w:rPr>
        <w:t xml:space="preserve">года №44-ФЗ: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в представленной участником закупки независимой гарантии указаны данные о бенефициаре (адрес электронной почты), которые не соответствуют данным заказчика Государственное казенное учреждение социального обслуживания «Дзержинский центр социального обслуживания населения» (ИНН </w:t>
      </w:r>
      <w:r>
        <w:rPr>
          <w:rStyle w:val="CharStyle14"/>
          <w:lang w:val="en-US" w:eastAsia="en-US"/>
        </w:rPr>
        <w:t xml:space="preserve">3443082350), </w:t>
      </w:r>
      <w:r>
        <w:rPr>
          <w:rStyle w:val="CharStyle14"/>
        </w:rPr>
        <w:t xml:space="preserve">на которого распространяются условия независимой гарантии. Указан адрес электронной почты и телефон иного юридического лица, а именно, адрес электронной почты и телефон уполномоченного учреждения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ГКУ ВО «ЦОЗ», осуществляющего размещение извещения о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>Закона о контрактной системе основанием для отказа в принятии независимой гарантии заказчиком является: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920"/>
        <w:jc w:val="left"/>
      </w:pPr>
      <w:r>
        <w:rPr>
          <w:rStyle w:val="CharStyle14"/>
        </w:rPr>
        <w:t xml:space="preserve">отсутствие информации о независимой гарантии в предусмотренных статьей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>Закона о контрактной системе реестрах независимых гарантий;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 xml:space="preserve">несоответствие независимой гарантии требованиям, предусмотренным частями </w:t>
      </w:r>
      <w:r>
        <w:rPr>
          <w:rStyle w:val="CharStyle14"/>
          <w:lang w:val="en-US" w:eastAsia="en-US"/>
        </w:rPr>
        <w:t xml:space="preserve">2, 3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8.2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>Закона о контрактной системе;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920"/>
        <w:jc w:val="left"/>
      </w:pPr>
      <w:r>
        <w:rPr>
          <w:rStyle w:val="CharStyle14"/>
        </w:rPr>
        <w:t>несоответствие независимой гарантии требованиям, содержащимся в извещении об осуществлении закупки, приглашении, документации о закупке, проекте контракта, который заключается с единственным поставщиком (подрядчиком, исполнителем).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8.2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>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Закона 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>08.11.2013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 xml:space="preserve">№ 1005 </w:t>
      </w:r>
      <w:r>
        <w:rPr>
          <w:rStyle w:val="CharStyle14"/>
        </w:rPr>
        <w:t xml:space="preserve">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1005) </w:t>
      </w:r>
      <w:r>
        <w:rPr>
          <w:rStyle w:val="CharStyle14"/>
        </w:rPr>
        <w:t>утверждены, в том числе: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rStyle w:val="CharStyle14"/>
        </w:rPr>
        <w:t>дополнительные требования к независимой гарантии, используемой для целей Закона о контрактной системе;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 xml:space="preserve">типовая форма независимой гарантии, предоставляемой в качестве обеспечения исполнения контракта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Типовая форма).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>В соответствии с Типовой формой в качестве бенефициара указывается заказчик, за исключением случая проведения совместного конкурса или аукциона, при котором в качестве бенефициара указывается организатор совместного конкурса или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 xml:space="preserve">На заседании Комиссии установлено, что в извещении, сформированным посредством ЕИС, указаны все необходимые сведения о Заказчике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ГКУ ВО «Дзержинский центр социального обслуживания населения», в том числе телефон и адрес электронной почты, а именно: </w:t>
      </w:r>
      <w:r>
        <w:rPr>
          <w:rStyle w:val="CharStyle14"/>
          <w:lang w:val="en-US" w:eastAsia="en-US"/>
        </w:rPr>
        <w:t xml:space="preserve">dzerzhinskiy_cson@volganet.ru»; </w:t>
      </w:r>
      <w:r>
        <w:rPr>
          <w:rStyle w:val="CharStyle14"/>
        </w:rPr>
        <w:t xml:space="preserve">«Номер контактного телефона: </w:t>
      </w:r>
      <w:r>
        <w:rPr>
          <w:rStyle w:val="CharStyle14"/>
          <w:lang w:val="en-US" w:eastAsia="en-US"/>
        </w:rPr>
        <w:t>7 (8442) 587401; +7 (8442) 549793».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Вместе с тем, в представленной Заявителем независимой гарантии </w:t>
      </w:r>
      <w:r>
        <w:rPr>
          <w:rStyle w:val="CharStyle14"/>
          <w:lang w:val="en-US" w:eastAsia="en-US"/>
        </w:rPr>
        <w:t xml:space="preserve">№ 11030680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18.08.2025, </w:t>
      </w:r>
      <w:r>
        <w:rPr>
          <w:rStyle w:val="CharStyle14"/>
        </w:rPr>
        <w:t>выданной АКБ «Абсолют Банк», указаны адрес электронной почты и телефон иного юридического лица, а именно, адрес электронной почты</w:t>
      </w:r>
      <w:r>
        <w:fldChar w:fldCharType="begin"/>
      </w:r>
      <w:r>
        <w:rPr/>
        <w:instrText> HYPERLINK "mailto:coz_44fz@volganet.ru" </w:instrText>
      </w:r>
      <w:r>
        <w:fldChar w:fldCharType="separate"/>
      </w:r>
      <w:r>
        <w:rPr>
          <w:rStyle w:val="CharStyle14"/>
        </w:rPr>
        <w:t xml:space="preserve"> </w:t>
      </w:r>
      <w:r>
        <w:rPr>
          <w:rStyle w:val="CharStyle14"/>
          <w:lang w:val="en-US" w:eastAsia="en-US"/>
        </w:rPr>
        <w:t>coz_44fz@volganet.ru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и телефон: </w:t>
      </w:r>
      <w:r>
        <w:rPr>
          <w:rStyle w:val="CharStyle14"/>
          <w:lang w:val="en-US" w:eastAsia="en-US"/>
        </w:rPr>
        <w:t xml:space="preserve">7-8442-597923, </w:t>
      </w:r>
      <w:r>
        <w:rPr>
          <w:rStyle w:val="CharStyle14"/>
        </w:rPr>
        <w:t xml:space="preserve">принадлежащие уполномоченному учреждению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ГКУ ВО «Центр организации закупок», осуществляющего размещение извещения о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Таким образом, независимая гарантия, представленная Заявителем, не соответствовала Типовой форме Постановления </w:t>
      </w:r>
      <w:r>
        <w:rPr>
          <w:rStyle w:val="CharStyle14"/>
          <w:lang w:val="en-US" w:eastAsia="en-US"/>
        </w:rPr>
        <w:t>№ 1005.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Таким образом у комиссии по осуществлению закупок имелись правовые основания для признания заявки Заявителя несоответствующей требованиям извещения, довод жалобы не находит своего подтверждения и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настоящем случае в действиях АКБ «Абсолют Банк», усматривается нарушение ч. </w:t>
      </w:r>
      <w:r>
        <w:rPr>
          <w:rStyle w:val="CharStyle14"/>
          <w:lang w:val="en-US" w:eastAsia="en-US"/>
        </w:rPr>
        <w:t xml:space="preserve">8.2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 xml:space="preserve">Закона о контрактной системе, так как в независимой гарантии </w:t>
      </w:r>
      <w:r>
        <w:rPr>
          <w:rStyle w:val="CharStyle14"/>
          <w:lang w:val="en-US" w:eastAsia="en-US"/>
        </w:rPr>
        <w:t xml:space="preserve">№ 11030680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18.08.2025, </w:t>
      </w:r>
      <w:r>
        <w:rPr>
          <w:rStyle w:val="CharStyle14"/>
        </w:rPr>
        <w:t>выпущенной банком, указаны ненадлежащие сведения об адресе электронной почты и телефоне бенефициара.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Вместе с тем, Комиссия не усматривает оснований для выдачи обязательного для исполнения предписания ввиду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извещению в рамках проведения данной закупки применен национальный режим в соответствии с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23.12.2024 № 1875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>№ 1875).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соответствии с Постановлением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>извещением установлено применение ограничения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В составе заявки Заявителя содержится предложение о поставке товаров, страной происхождения которых является «Китайская Народная Республика». При этом, 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Таким образом, нарушение ч. </w:t>
      </w:r>
      <w:r>
        <w:rPr>
          <w:rStyle w:val="CharStyle14"/>
          <w:lang w:val="en-US" w:eastAsia="en-US"/>
        </w:rPr>
        <w:t xml:space="preserve">8.2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>Закона о контрактной системе не повлияло на результаты определения поставщика, так как заявка Заявителя подлежала отклонению, в результате применения национального режима.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4"/>
        </w:rPr>
        <w:t xml:space="preserve">Руководствуясь главой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4"/>
        </w:rPr>
        <w:t xml:space="preserve">Признать жалобу ИП Богатыревой Людмилы Ивановны на действия комиссии при проведении запроса котировок в электронной форме «Поставка детского оборудования для обеспечения деятельности пунктов проката (кровать детская, пеленальный столик, манеж- кровать, коляска детская)» (номер извещения </w:t>
      </w:r>
      <w:r>
        <w:rPr>
          <w:rStyle w:val="CharStyle14"/>
          <w:lang w:val="en-US" w:eastAsia="en-US"/>
        </w:rPr>
        <w:t xml:space="preserve">0329200062225007407)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14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color w:val="000000"/>
          <w:sz w:val="20"/>
          <w:szCs w:val="20"/>
        </w:rPr>
        <w:t>Субботин А.А.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color w:val="000000"/>
          <w:sz w:val="20"/>
          <w:szCs w:val="20"/>
        </w:rPr>
        <w:t xml:space="preserve">тел.8(8442) </w:t>
      </w:r>
      <w:r>
        <w:rPr>
          <w:rStyle w:val="CharStyle9"/>
          <w:color w:val="000000"/>
          <w:sz w:val="20"/>
          <w:szCs w:val="20"/>
          <w:lang w:val="en-US" w:eastAsia="en-US"/>
        </w:rPr>
        <w:t>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52" w:right="433" w:bottom="941" w:left="107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754380</wp:posOffset>
              </wp:positionH>
              <wp:positionV relativeFrom="page">
                <wp:posOffset>9892030</wp:posOffset>
              </wp:positionV>
              <wp:extent cx="65214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2025-6506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9.399999999999999pt;margin-top:778.89999999999998pt;width:51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2025-6506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2025-6506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450000000000003pt;margin-top:775.70000000000005pt;width:51.3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2025-6506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3957320</wp:posOffset>
              </wp:positionH>
              <wp:positionV relativeFrom="page">
                <wp:posOffset>665480</wp:posOffset>
              </wp:positionV>
              <wp:extent cx="21590" cy="882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59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11.60000000000002pt;margin-top:52.399999999999999pt;width:1.7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20"/>
      <w:szCs w:val="2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80" w:line="247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20"/>
      <w:szCs w:val="2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/Relationships>
</file>