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9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after="0" w:line="240" w:lineRule="auto"/>
        <w:ind w:left="0" w:right="0" w:firstLine="0"/>
        <w:jc w:val="center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rStyle w:val="CharStyle10"/>
        </w:rPr>
        <w:t>03.09.2025</w:t>
        <w:tab/>
      </w:r>
      <w:r>
        <w:fldChar w:fldCharType="end"/>
      </w:r>
      <w:r>
        <w:rPr>
          <w:rStyle w:val="CharStyle10"/>
        </w:rPr>
        <w:t>№ 35347/25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ГБУ «Жилищник района Северное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 xml:space="preserve">Бутово» </w:t>
      </w:r>
      <w:r>
        <w:fldChar w:fldCharType="begin"/>
      </w:r>
      <w:r>
        <w:rPr/>
        <w:instrText> HYPERLINK "mailto:gbusb@mail.ru" </w:instrText>
      </w:r>
      <w:r>
        <w:fldChar w:fldCharType="separate"/>
      </w:r>
      <w:r>
        <w:rPr>
          <w:rStyle w:val="CharStyle12"/>
          <w:lang w:val="en-US" w:eastAsia="en-US"/>
        </w:rPr>
        <w:t>gbusb@mail.ru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 xml:space="preserve">ГКУ «ДЗ ЖКХиБ ЮЗАО» </w:t>
      </w:r>
      <w:r>
        <w:fldChar w:fldCharType="begin"/>
      </w:r>
      <w:r>
        <w:rPr/>
        <w:instrText> HYPERLINK "mailto:diruzao@mail.ru" </w:instrText>
      </w:r>
      <w:r>
        <w:fldChar w:fldCharType="separate"/>
      </w:r>
      <w:r>
        <w:rPr>
          <w:rStyle w:val="CharStyle12"/>
          <w:lang w:val="en-US" w:eastAsia="en-US"/>
        </w:rPr>
        <w:t>diruzao@mail.ru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ИП Лабанюк В.В.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"mailto:Vlabanyuk@bk.ru" </w:instrText>
      </w:r>
      <w:r>
        <w:fldChar w:fldCharType="separate"/>
      </w:r>
      <w:r>
        <w:rPr>
          <w:rStyle w:val="CharStyle12"/>
          <w:lang w:val="en-US" w:eastAsia="en-US"/>
        </w:rPr>
        <w:t>Vlabanyuk@bk.ru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4" w:right="1295" w:bottom="708" w:left="1265" w:header="0" w:footer="3" w:gutter="0"/>
          <w:pgNumType w:start="1"/>
          <w:cols w:num="2" w:space="941"/>
          <w:noEndnote/>
          <w:titlePg/>
          <w:rtlGutter w:val="0"/>
          <w:docGrid w:linePitch="360"/>
        </w:sectPr>
      </w:pPr>
      <w:r>
        <w:rPr>
          <w:rStyle w:val="CharStyle12"/>
        </w:rPr>
        <w:t xml:space="preserve">АО«ЕЭТП» </w:t>
      </w: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12"/>
          <w:lang w:val="en-US" w:eastAsia="en-US"/>
        </w:rPr>
        <w:t>ko@roseltorg.ru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1" w:after="2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60" w:right="0" w:bottom="84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>РЕШЕНИЕ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6396355</wp:posOffset>
                </wp:positionH>
                <wp:positionV relativeFrom="paragraph">
                  <wp:posOffset>393700</wp:posOffset>
                </wp:positionV>
                <wp:extent cx="795655" cy="259080"/>
                <wp:wrapSquare wrapText="left"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9565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2"/>
                                <w:b/>
                                <w:bCs/>
                              </w:rPr>
                              <w:t>г. Москва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503.65000000000003pt;margin-top:31.pt;width:62.649999999999999pt;height:20.400000000000002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2"/>
                          <w:b/>
                          <w:bCs/>
                        </w:rPr>
                        <w:t>г. Москва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№077/06/106-10728/2025 </w:t>
      </w:r>
      <w:r>
        <w:rPr>
          <w:rStyle w:val="CharStyle12"/>
          <w:b/>
          <w:bCs/>
        </w:rPr>
        <w:t>о нарушении</w:t>
        <w:br/>
        <w:t>законодательства о контрактной системе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both"/>
      </w:pPr>
      <w:r>
        <w:rPr>
          <w:rStyle w:val="CharStyle12"/>
          <w:b/>
          <w:bCs/>
          <w:lang w:val="en-US" w:eastAsia="en-US"/>
        </w:rPr>
        <w:t>29.08.2025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 xml:space="preserve">Комиссия Управления Федеральной антимонопольной службы по г. Москве по контролю в сфере закупок товаров, работ, услуг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Комиссия Управления)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 xml:space="preserve">Председательствующего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>главного государственного инспектора отдела обжалования государственных закупок А.А. Кутейникова,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>Членов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>Специалиста-эксперта отдела обжалования государственных закупок А.А. Леоновой,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>Специалиста-эксперта отдела обжалования государственных закупок О.А. Челновой,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>рассмотрение жалобы проводилось дистанционно (посредством видео</w:t>
        <w:softHyphen/>
        <w:t>конференц-связи),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>при участии представителей: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 xml:space="preserve">ГБУ «Жилищник района Северное Бутово»: А.Л. Аниськович (по доверенности №б/н от </w:t>
      </w:r>
      <w:r>
        <w:rPr>
          <w:rStyle w:val="CharStyle12"/>
          <w:lang w:val="en-US" w:eastAsia="en-US"/>
        </w:rPr>
        <w:t xml:space="preserve">21.03.2025), </w:t>
      </w:r>
      <w:r>
        <w:rPr>
          <w:rStyle w:val="CharStyle12"/>
        </w:rPr>
        <w:t xml:space="preserve">Е.Н. Гундер (по доверенности №б/н от </w:t>
      </w:r>
      <w:r>
        <w:rPr>
          <w:rStyle w:val="CharStyle12"/>
          <w:lang w:val="en-US" w:eastAsia="en-US"/>
        </w:rPr>
        <w:t>28.08.2025),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>в отсутствие представителей ИП Лабанюк В.В., о времени и порядке заседания Комиссии Управления уведомленных посредством функционала Единой информационной системы,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 xml:space="preserve">рассмотрев жалобу ИП Лабанюк В.В.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>Заявитель) на действия ГБУ «Жилищник района Северное Бутово» (далее —Заказчик) при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 xml:space="preserve">проведении электронного аукциона на право заключения государственного контракта на выполнение работ по замене дверных блоков (в рамках капитального ремонта) (Закупка </w:t>
      </w:r>
      <w:r>
        <w:rPr>
          <w:rStyle w:val="CharStyle12"/>
          <w:lang w:val="en-US" w:eastAsia="en-US"/>
        </w:rPr>
        <w:t>№</w:t>
      </w:r>
      <w:r>
        <w:rPr>
          <w:rStyle w:val="CharStyle12"/>
          <w:color w:val="111111"/>
          <w:lang w:val="en-US" w:eastAsia="en-US"/>
        </w:rPr>
        <w:t xml:space="preserve">0373200032225000697) </w:t>
      </w:r>
      <w:r>
        <w:rPr>
          <w:rStyle w:val="CharStyle12"/>
        </w:rPr>
        <w:t xml:space="preserve">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>электронный аукцион</w:t>
      </w:r>
    </w:p>
    <w:p>
      <w:pPr>
        <w:widowControl w:val="0"/>
        <w:spacing w:line="1" w:lineRule="exact"/>
      </w:pPr>
      <w:r>
        <w:drawing>
          <wp:anchor distT="25400" distB="0" distL="0" distR="0" simplePos="0" relativeHeight="125829380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25400</wp:posOffset>
            </wp:positionV>
            <wp:extent cx="1511935" cy="292735"/>
            <wp:wrapTopAndBottom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rStyle w:val="CharStyle12"/>
        </w:rPr>
        <w:t xml:space="preserve">аукцион), в соответствии с Федеральным законом от </w:t>
      </w:r>
      <w:r>
        <w:rPr>
          <w:rStyle w:val="CharStyle12"/>
          <w:lang w:val="en-US" w:eastAsia="en-US"/>
        </w:rPr>
        <w:t xml:space="preserve">05.04.2013 </w:t>
      </w:r>
      <w:r>
        <w:rPr>
          <w:rStyle w:val="CharStyle12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Закон о контрактной системе),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2"/>
          <w:b/>
          <w:bCs/>
        </w:rPr>
        <w:t>УСТАНОВИЛА: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2"/>
        </w:rPr>
        <w:t xml:space="preserve">В Московское УФАС России поступила жалоба Заявителя на действия комиссии по осуществлению закупок Заказчика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>комиссия Заказчика) при проведении вышеуказанного электронного аукциона.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2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2"/>
        </w:rPr>
        <w:t>По мнению Заявителя, Заказчиком нарушены нормы Закона о контрактной системе в результате отклонения заявки Заявителя.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2"/>
        </w:rPr>
        <w:t xml:space="preserve">Согласно протоколу подведения итогов определения поставщика от </w:t>
      </w:r>
      <w:r>
        <w:rPr>
          <w:rStyle w:val="CharStyle12"/>
          <w:lang w:val="en-US" w:eastAsia="en-US"/>
        </w:rPr>
        <w:t xml:space="preserve">22.08.2025 </w:t>
      </w:r>
      <w:r>
        <w:rPr>
          <w:rStyle w:val="CharStyle12"/>
        </w:rPr>
        <w:t xml:space="preserve">№ИЭА1 заявка участника закупки ИП Лабанюк В.В., с идентификационным номером </w:t>
      </w:r>
      <w:r>
        <w:rPr>
          <w:rStyle w:val="CharStyle12"/>
          <w:lang w:val="en-US" w:eastAsia="en-US"/>
        </w:rPr>
        <w:t xml:space="preserve">2251162, </w:t>
      </w:r>
      <w:r>
        <w:rPr>
          <w:rStyle w:val="CharStyle12"/>
        </w:rPr>
        <w:t xml:space="preserve">отклонена на следующем основании: </w:t>
      </w:r>
      <w:r>
        <w:rPr>
          <w:rStyle w:val="CharStyle12"/>
          <w:i/>
          <w:iCs/>
        </w:rPr>
        <w:t xml:space="preserve">«Отклонить заявку на участие в закупке по п.1 ч.12 ст.48 №44-ФЗ «Непредставление информации и документов, предусмотренных извещением об осуществлении закупки (за исключением информации и документов, предусмотренных п. </w:t>
      </w:r>
      <w:r>
        <w:rPr>
          <w:rStyle w:val="CharStyle12"/>
          <w:i/>
          <w:iCs/>
          <w:lang w:val="en-US" w:eastAsia="en-US"/>
        </w:rPr>
        <w:t xml:space="preserve">2, 3 </w:t>
      </w:r>
      <w:r>
        <w:rPr>
          <w:rStyle w:val="CharStyle12"/>
          <w:i/>
          <w:iCs/>
        </w:rPr>
        <w:t xml:space="preserve">ч. </w:t>
      </w:r>
      <w:r>
        <w:rPr>
          <w:rStyle w:val="CharStyle12"/>
          <w:i/>
          <w:iCs/>
          <w:lang w:val="en-US" w:eastAsia="en-US"/>
        </w:rPr>
        <w:t xml:space="preserve">6 </w:t>
      </w:r>
      <w:r>
        <w:rPr>
          <w:rStyle w:val="CharStyle12"/>
          <w:i/>
          <w:iCs/>
        </w:rPr>
        <w:t xml:space="preserve">ст. </w:t>
      </w:r>
      <w:r>
        <w:rPr>
          <w:rStyle w:val="CharStyle12"/>
          <w:i/>
          <w:iCs/>
          <w:lang w:val="en-US" w:eastAsia="en-US"/>
        </w:rPr>
        <w:t xml:space="preserve">43 </w:t>
      </w:r>
      <w:r>
        <w:rPr>
          <w:rStyle w:val="CharStyle12"/>
          <w:i/>
          <w:iCs/>
        </w:rPr>
        <w:t>Закона 44-ФЗ), несоответствие таких информации и документов требованиям» В составе заявки не представлены Реквизиты счета участника закупки,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товара, выполненной работы (ее результатов), оказанной услуги, а также отдельных этапов исполнения контракта, за исключением случаев, если в соответствии с законодательством Российской Федерации такой счет открывается после заключения контракта, требование о предоставлении которых установлено в п.3 ч.12 документации о проведении закупки».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2"/>
        </w:rPr>
        <w:t>Согласно п.3 ч.2 ст.42 Закона о контрактной системе извещение об осуществлении закупки, если иное не предусмотрено Законом о контрактной системе, должно содержать требования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60"/>
        <w:jc w:val="both"/>
      </w:pPr>
      <w:r>
        <w:rPr>
          <w:rStyle w:val="CharStyle12"/>
        </w:rPr>
        <w:t>В силу пп. «п» п.1 ч.1 ст.43 Закона о контрактной системе для участия в конкурентном способе заявка на участие в закупке, если иное не предусмотрено Законом о контрактной системе, должна содержать реквизиты счета участника закупки,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товара, выполненной работы (ее результатов), оказанной услуги, а также отдельных этапов исполнения контракта, за исключением случаев, если в соответствии с законодательством Российской Федерации такой счет открывается после заключения контракта.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 xml:space="preserve">Согласно ч.1 ст.49 Закона о контрактной системе заявка на участие в закупке должна содержать информацию и документы, предусмотренные пп. «м»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«п» п. </w:t>
      </w:r>
      <w:r>
        <w:rPr>
          <w:rStyle w:val="CharStyle12"/>
          <w:lang w:val="en-US" w:eastAsia="en-US"/>
        </w:rPr>
        <w:t xml:space="preserve">1, </w:t>
      </w:r>
      <w:r>
        <w:rPr>
          <w:rStyle w:val="CharStyle12"/>
        </w:rPr>
        <w:t xml:space="preserve">пп. «а»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«в» п. </w:t>
      </w:r>
      <w:r>
        <w:rPr>
          <w:rStyle w:val="CharStyle12"/>
          <w:lang w:val="en-US" w:eastAsia="en-US"/>
        </w:rPr>
        <w:t xml:space="preserve">2, </w:t>
      </w:r>
      <w:r>
        <w:rPr>
          <w:rStyle w:val="CharStyle12"/>
        </w:rPr>
        <w:t xml:space="preserve">п. </w:t>
      </w:r>
      <w:r>
        <w:rPr>
          <w:rStyle w:val="CharStyle12"/>
          <w:lang w:val="en-US" w:eastAsia="en-US"/>
        </w:rPr>
        <w:t xml:space="preserve">5 </w:t>
      </w:r>
      <w:r>
        <w:rPr>
          <w:rStyle w:val="CharStyle12"/>
        </w:rPr>
        <w:t xml:space="preserve">ч.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43 </w:t>
      </w:r>
      <w:r>
        <w:rPr>
          <w:rStyle w:val="CharStyle12"/>
        </w:rPr>
        <w:t xml:space="preserve">Закона о контрактной системе. Заявка также может содержать информацию и документы, предусмотренные пп. «д» п.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ч.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43 </w:t>
      </w:r>
      <w:r>
        <w:rPr>
          <w:rStyle w:val="CharStyle12"/>
        </w:rPr>
        <w:t>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>Комиссией Управления установлено, что согласно пп.3 п.12 Информационной карты в составе извещения установлено требование о том, что для участия в конкурентном способе заявка на участие в закупке должна содержать, в том числе: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  <w:i/>
          <w:iCs/>
          <w:lang w:val="en-US" w:eastAsia="en-US"/>
        </w:rPr>
        <w:t xml:space="preserve">«3. </w:t>
      </w:r>
      <w:r>
        <w:rPr>
          <w:rStyle w:val="CharStyle12"/>
          <w:i/>
          <w:iCs/>
        </w:rPr>
        <w:t>Реквизиты счета участника закупки,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товара, выполненной работы (ее результатов), оказанной услуги, а также отдельных этапов исполнения контракта, за исключением случаев, если в соответствии с законодательством Российской Федерации такой счет открывается после заключения контракта».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>Вместе с тем Комиссией Управления установлено, что в составе заявки с Заявителя реквизиты счёта представлены.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>На заседании Комиссии Управления представитель Заказчика согласился с вышеуказанным доводом жалобы, при этом пояснил, заявка Заявителя отклонена комиссией по осуществлению закупок по формальному признаку ввиду непредоставления реквизитов участника закупки ошибочно.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>Вместе с тем представитель Заказчика в возражениях, представленных на заседание Комиссии Управления, также ходатайствует о переводе закупки на этап подачи заявок и предоставления Заказчику возможности внесения изменений в аукционную документацию путем размещения описание объекта закупки отдельным файлом.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>В свою очередь при проведении проверки формирования описания объекта закупки, Комиссия Управления не находит основания для удовлетворения данного ходатайство, ввиду чего заявленное ходатайство не удовлетворено.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>Исходя из вышеизложенного Комиссия Управления приходит к выводу, что правовых оснований по отклонению заявки участника на основании не предоставления реквизитов счёта у комиссии Заказчика не имелось.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60" w:right="544" w:bottom="848" w:left="1079" w:header="0" w:footer="3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>На основании пп. «а» п.1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закупки,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п.4 ч.4 ст.49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 xml:space="preserve">закупке по основаниям, предусмотренным п.1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п.8 ч.12 ст.48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 силу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непредставления (за исключением случаев, предусмотренных Законом о контрактной системе)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п.2 и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>ч.6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непредставления информации и документов, предусмотренных п.2 и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>ч.6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несоответствия участника закупки требованиям, установленным в извещении об осуществлении закупки в соответствии с ч.1 ст.31 Закона о контрактной системе, требованиям, установленным в извещении об осуществлении закупки в соответствии с частями </w:t>
      </w:r>
      <w:r>
        <w:rPr>
          <w:rStyle w:val="CharStyle12"/>
          <w:lang w:val="en-US" w:eastAsia="en-US"/>
        </w:rPr>
        <w:t xml:space="preserve">1.1, 2 </w:t>
      </w:r>
      <w:r>
        <w:rPr>
          <w:rStyle w:val="CharStyle12"/>
        </w:rPr>
        <w:t xml:space="preserve">и </w:t>
      </w:r>
      <w:r>
        <w:rPr>
          <w:rStyle w:val="CharStyle12"/>
          <w:lang w:val="en-US" w:eastAsia="en-US"/>
        </w:rPr>
        <w:t xml:space="preserve">2.1 </w:t>
      </w:r>
      <w:r>
        <w:rPr>
          <w:rStyle w:val="CharStyle12"/>
        </w:rPr>
        <w:t>(при наличии таких требований) ст.31 Закона о контрактной системе;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предусмотренных пп. «а» п.1 (за исключением случая, предусмотренного п.5 ч.12 ст.48 Закона о контрактной системе), пп. «а» п.2 ч.4, пп. «а» пункта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>(за исключением случая, предусмотренного п.5 ч.12 ст.48 Закона о контрактной системе), п.2 ч.5 ст.14 Закона о контрактной системе);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непредставления информации и документов, предусмотренных п.5 ч.1 ст.43 Закона о контрактной системе, если такие информация и документы определены в соответствии с п.2 ч.2 ст.14 Закона о контрактной системе (в случае установления в соответствии с пп. «а» п.1 ч.2 ст.14 Закона о контрактной системе в извещении об осуществлении закупки запрета закупок товара, происходящего из иностранного государства);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выявления отнесения участника закупки к организациям, предусмотренным п.4 ст.2 Федерального закона от </w:t>
      </w:r>
      <w:r>
        <w:rPr>
          <w:rStyle w:val="CharStyle12"/>
          <w:lang w:val="en-US" w:eastAsia="en-US"/>
        </w:rPr>
        <w:t xml:space="preserve">4 </w:t>
      </w:r>
      <w:r>
        <w:rPr>
          <w:rStyle w:val="CharStyle12"/>
        </w:rPr>
        <w:t xml:space="preserve">июня </w:t>
      </w:r>
      <w:r>
        <w:rPr>
          <w:rStyle w:val="CharStyle12"/>
          <w:lang w:val="en-US" w:eastAsia="en-US"/>
        </w:rPr>
        <w:t xml:space="preserve">2018 </w:t>
      </w:r>
      <w:r>
        <w:rPr>
          <w:rStyle w:val="CharStyle12"/>
        </w:rPr>
        <w:t>года №127-ФЗ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0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предусмотренных ч.6 ст.45 Закона о контрактной системе;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выявления недостоверной информации, содержащейся в заявке на участие в закупке;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указания информации о предложении участника закупки, предусмотренном п.3 или п.4 ч.1 ст.43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720"/>
        <w:jc w:val="both"/>
        <w:rPr>
          <w:sz w:val="24"/>
          <w:szCs w:val="24"/>
        </w:rPr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50" w:bottom="682" w:left="1106" w:header="0" w:footer="254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 xml:space="preserve">Таким образом Комиссия Управления приходит к выводу, о нарушении комиссией Заказчика пп. «а» п.1 ч.5 ст.49 Закона о контрактной системе, что также свидетельствует о наличии в действиях Заказчика признаков состава административного правонарушения, ответственность за которое предусмотрена </w:t>
      </w:r>
      <w:r>
        <w:rPr>
          <w:rStyle w:val="CharStyle12"/>
          <w:sz w:val="24"/>
          <w:szCs w:val="24"/>
          <w:lang w:val="en-US" w:eastAsia="en-US"/>
        </w:rPr>
        <w:t>2025-39591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2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ч.7</w:t>
        <w:tab/>
        <w:t>ст.7.30.1 Кодекса Российской Федерации об административных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правонарушениях.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680"/>
        <w:jc w:val="both"/>
      </w:pPr>
      <w:r>
        <w:rPr>
          <w:rStyle w:val="CharStyle12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52" w:lineRule="auto"/>
        <w:ind w:left="0" w:right="0" w:firstLine="0"/>
        <w:jc w:val="center"/>
      </w:pPr>
      <w:r>
        <w:rPr>
          <w:rStyle w:val="CharStyle12"/>
          <w:b/>
          <w:bCs/>
        </w:rPr>
        <w:t>РЕШИЛА: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6" w:val="left"/>
        </w:tabs>
        <w:bidi w:val="0"/>
        <w:spacing w:before="0" w:after="0" w:line="252" w:lineRule="auto"/>
        <w:ind w:left="0" w:right="0" w:firstLine="680"/>
        <w:jc w:val="both"/>
      </w:pPr>
      <w:r>
        <w:rPr>
          <w:rStyle w:val="CharStyle12"/>
        </w:rPr>
        <w:t>.Признать жалобу ИП Лабанюк В.В. на действия комиссии ГБУ «Жилищник района Северное Бутово» обоснованной.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11" w:val="left"/>
        </w:tabs>
        <w:bidi w:val="0"/>
        <w:spacing w:before="0" w:after="0" w:line="252" w:lineRule="auto"/>
        <w:ind w:left="0" w:right="0" w:firstLine="680"/>
        <w:jc w:val="both"/>
      </w:pPr>
      <w:r>
        <w:rPr>
          <w:rStyle w:val="CharStyle12"/>
        </w:rPr>
        <w:t>.Признать в действиях комиссии Заказчика нарушение пп. «а» п.1 ч.5 ст.49 Закона о контрактной системе.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11" w:val="left"/>
        </w:tabs>
        <w:bidi w:val="0"/>
        <w:spacing w:before="0" w:after="0" w:line="252" w:lineRule="auto"/>
        <w:ind w:left="0" w:right="0" w:firstLine="680"/>
        <w:jc w:val="both"/>
      </w:pPr>
      <w:r>
        <w:rPr>
          <w:rStyle w:val="CharStyle12"/>
        </w:rPr>
        <w:t>.Выдать обязательное для исполнения предписание об устранении нарушений Закона о контрактной системе.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16" w:val="left"/>
        </w:tabs>
        <w:bidi w:val="0"/>
        <w:spacing w:before="0" w:after="260" w:line="252" w:lineRule="auto"/>
        <w:ind w:left="0" w:right="0" w:firstLine="680"/>
        <w:jc w:val="both"/>
      </w:pPr>
      <w:r>
        <w:rPr>
          <w:rStyle w:val="CharStyle12"/>
        </w:rPr>
        <w:t>.Передать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(трех) месяцев с даты его принятия в порядке, установленном гл. </w:t>
      </w:r>
      <w:r>
        <w:rPr>
          <w:rStyle w:val="CharStyle12"/>
          <w:lang w:val="en-US" w:eastAsia="en-US"/>
        </w:rPr>
        <w:t xml:space="preserve">24 </w:t>
      </w:r>
      <w:r>
        <w:rPr>
          <w:rStyle w:val="CharStyle12"/>
        </w:rPr>
        <w:t>АПК РФ.</w:t>
      </w:r>
    </w:p>
    <w:p>
      <w:pPr>
        <w:widowControl w:val="0"/>
        <w:spacing w:line="1" w:lineRule="exact"/>
        <w:sectPr>
          <w:headerReference w:type="default" r:id="rId15"/>
          <w:footerReference w:type="default" r:id="rId16"/>
          <w:footnotePr>
            <w:pos w:val="pageBottom"/>
            <w:numFmt w:val="decimal"/>
            <w:numRestart w:val="continuous"/>
          </w:footnotePr>
          <w:pgSz w:w="11900" w:h="16840"/>
          <w:pgMar w:top="1162" w:right="532" w:bottom="1469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219075" distL="0" distR="0" simplePos="0" relativeHeight="125829381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127000</wp:posOffset>
                </wp:positionV>
                <wp:extent cx="1844040" cy="250190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58.200000000000003pt;margin-top:10.pt;width:145.20000000000002pt;height:19.699999999999999pt;z-index:-125829372;mso-wrap-distance-left:0;mso-wrap-distance-top:10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00025" distB="0" distL="0" distR="1786255" simplePos="0" relativeHeight="125829383" behindDoc="0" locked="0" layoutInCell="1" allowOverlap="1">
            <wp:simplePos x="0" y="0"/>
            <wp:positionH relativeFrom="page">
              <wp:posOffset>3107690</wp:posOffset>
            </wp:positionH>
            <wp:positionV relativeFrom="paragraph">
              <wp:posOffset>200025</wp:posOffset>
            </wp:positionV>
            <wp:extent cx="359410" cy="396240"/>
            <wp:wrapTopAndBottom/>
            <wp:docPr id="20" name="Shap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3528060</wp:posOffset>
                </wp:positionH>
                <wp:positionV relativeFrom="paragraph">
                  <wp:posOffset>288290</wp:posOffset>
                </wp:positionV>
                <wp:extent cx="1722120" cy="259080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77.80000000000001pt;margin-top:22.699999999999999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219075" distL="0" distR="0" simplePos="0" relativeHeight="125829384" behindDoc="0" locked="0" layoutInCell="1" allowOverlap="1">
                <wp:simplePos x="0" y="0"/>
                <wp:positionH relativeFrom="page">
                  <wp:posOffset>5908675</wp:posOffset>
                </wp:positionH>
                <wp:positionV relativeFrom="paragraph">
                  <wp:posOffset>127000</wp:posOffset>
                </wp:positionV>
                <wp:extent cx="1307465" cy="250190"/>
                <wp:wrapTopAndBottom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2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465.25pt;margin-top:10.pt;width:102.95pt;height:19.699999999999999pt;z-index:-125829369;mso-wrap-distance-left:0;mso-wrap-distance-top:10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2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0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21"/>
          <w:color w:val="FFFFFF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</w:rPr>
        <w:t>Кутейников Антон Андреевич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  <w:lang w:val="en-US" w:eastAsia="en-US"/>
        </w:rPr>
        <w:t>67950889C45403E5BD9EBC88A8D80C0D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23"/>
        </w:rPr>
        <w:t xml:space="preserve">Действителен с 19.05.2025 </w:t>
      </w:r>
      <w:r>
        <w:rPr>
          <w:rStyle w:val="CharStyle23"/>
          <w:color w:val="5D5D5D"/>
        </w:rPr>
        <w:t xml:space="preserve">по </w:t>
      </w:r>
      <w:r>
        <w:rPr>
          <w:rStyle w:val="CharStyle23"/>
        </w:rPr>
        <w:t>12.08.2026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2"/>
        </w:rPr>
        <w:t>Члены комиссии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1280" w:right="0" w:firstLine="0"/>
        <w:jc w:val="left"/>
      </w:pPr>
      <w:r>
        <w:drawing>
          <wp:anchor distT="0" distB="0" distL="114300" distR="1900555" simplePos="0" relativeHeight="125829386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26" name="Shape 2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box 27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8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80.90000000000003pt;margin-top:36.899999999999999pt;width:101.05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8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277.75pt;margin-top:11.95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А.А. Леонова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</w:rPr>
        <w:t>Леонова Алена Альбертовна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  <w:lang w:val="en-US" w:eastAsia="en-US"/>
        </w:rPr>
        <w:t>009389F972AA570F22D19E7C51D28B0906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23"/>
        </w:rPr>
        <w:t>Действителен с 20.09.2024 по 14.12.2025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1280" w:right="0" w:firstLine="0"/>
        <w:jc w:val="left"/>
      </w:pPr>
      <w:r>
        <w:drawing>
          <wp:anchor distT="0" distB="0" distL="114300" distR="1900555" simplePos="0" relativeHeight="125829387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32" name="Shape 3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box 33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34" name="Shape 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8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0" type="#_x0000_t202" style="position:absolute;margin-left:280.90000000000003pt;margin-top:36.899999999999999pt;width:101.05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8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36" name="Shape 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2" type="#_x0000_t202" style="position:absolute;margin-left:277.75pt;margin-top:11.950000000000001pt;width:135.59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О.А. Челнова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</w:rPr>
        <w:t>Челнова Олеся Антоновна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  <w:lang w:val="en-US" w:eastAsia="en-US"/>
        </w:rPr>
        <w:t>05605B6072C3BC92D25AFCA81C80B531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800" w:line="240" w:lineRule="auto"/>
        <w:ind w:right="0" w:firstLine="0"/>
        <w:jc w:val="left"/>
      </w:pPr>
      <w:r>
        <w:rPr>
          <w:rStyle w:val="CharStyle23"/>
        </w:rPr>
        <w:t xml:space="preserve">Действителен с 23.05.2025 </w:t>
      </w:r>
      <w:r>
        <w:rPr>
          <w:rStyle w:val="CharStyle23"/>
          <w:color w:val="5D5D5D"/>
        </w:rPr>
        <w:t xml:space="preserve">по </w:t>
      </w:r>
      <w:r>
        <w:rPr>
          <w:rStyle w:val="CharStyle23"/>
        </w:rPr>
        <w:t>16.08.2026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8"/>
        </w:rPr>
        <w:t>Исп.Челнова О.А.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28"/>
        </w:rPr>
        <w:t>тел.(495) 784-75-05, вн. 077-216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2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19455" cy="10350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2025-39591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200000000000003pt;margin-top:794.70000000000005pt;width:56.649999999999999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2025-39591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10217150</wp:posOffset>
              </wp:positionV>
              <wp:extent cx="734695" cy="125095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4695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2025-39591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6.75pt;margin-top:804.5pt;width:57.850000000000001pt;height:9.8499999999999996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2025-39591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19455" cy="103505"/>
              <wp:wrapNone/>
              <wp:docPr id="16" name="Shape 1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2025-39591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2" type="#_x0000_t202" style="position:absolute;margin-left:57.200000000000003pt;margin-top:794.70000000000005pt;width:56.649999999999999pt;height:8.15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2025-39591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421005</wp:posOffset>
              </wp:positionV>
              <wp:extent cx="76200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pt;margin-top:33.149999999999999pt;width:6.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473075</wp:posOffset>
              </wp:positionV>
              <wp:extent cx="76200" cy="106680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8" type="#_x0000_t202" style="position:absolute;margin-left:309.pt;margin-top:37.25pt;width:6.pt;height:8.4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421005</wp:posOffset>
              </wp:positionV>
              <wp:extent cx="76200" cy="103505"/>
              <wp:wrapNone/>
              <wp:docPr id="14" name="Shape 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0" type="#_x0000_t202" style="position:absolute;margin-left:309.pt;margin-top:33.149999999999999pt;width:6.pt;height:8.15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8">
    <w:name w:val="Picture caption_"/>
    <w:basedOn w:val="DefaultParagraphFont"/>
    <w:link w:val="Style1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1">
    <w:name w:val="Body text (5)_"/>
    <w:basedOn w:val="DefaultParagraphFont"/>
    <w:link w:val="Style2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3">
    <w:name w:val="Body text (2)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character" w:customStyle="1" w:styleId="CharStyle28">
    <w:name w:val="Body text (4)_"/>
    <w:basedOn w:val="DefaultParagraphFont"/>
    <w:link w:val="Style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7">
    <w:name w:val="Picture caption"/>
    <w:basedOn w:val="Normal"/>
    <w:link w:val="CharStyle18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0">
    <w:name w:val="Body text (5)"/>
    <w:basedOn w:val="Normal"/>
    <w:link w:val="CharStyle21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2">
    <w:name w:val="Body text (2)"/>
    <w:basedOn w:val="Normal"/>
    <w:link w:val="CharStyle23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paragraph" w:customStyle="1" w:styleId="Style27">
    <w:name w:val="Body text (4)"/>
    <w:basedOn w:val="Normal"/>
    <w:link w:val="CharStyle28"/>
    <w:pPr>
      <w:widowControl w:val="0"/>
      <w:shd w:val="clear" w:color="auto" w:fill="auto"/>
      <w:spacing w:after="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png"/><Relationship Id="rId12" Type="http://schemas.openxmlformats.org/officeDocument/2006/relationships/image" Target="media/image2.png" TargetMode="Externa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header" Target="header4.xml"/><Relationship Id="rId16" Type="http://schemas.openxmlformats.org/officeDocument/2006/relationships/footer" Target="footer4.xml"/><Relationship Id="rId17" Type="http://schemas.openxmlformats.org/officeDocument/2006/relationships/image" Target="media/image3.jpeg"/><Relationship Id="rId18" Type="http://schemas.openxmlformats.org/officeDocument/2006/relationships/image" Target="media/image3.jpeg" TargetMode="External"/><Relationship Id="rId19" Type="http://schemas.openxmlformats.org/officeDocument/2006/relationships/image" Target="media/image4.jpeg"/><Relationship Id="rId20" Type="http://schemas.openxmlformats.org/officeDocument/2006/relationships/image" Target="media/image4.jpeg" TargetMode="External"/><Relationship Id="rId21" Type="http://schemas.openxmlformats.org/officeDocument/2006/relationships/image" Target="media/image5.jpeg"/><Relationship Id="rId22" Type="http://schemas.openxmlformats.org/officeDocument/2006/relationships/image" Target="media/image5.jpeg" TargetMode="External"/></Relationships>
</file>