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7"/>
        <w:keepNext w:val="0"/>
        <w:keepLines w:val="0"/>
        <w:widowControl w:val="0"/>
        <w:shd w:val="clear" w:color="auto" w:fill="auto"/>
        <w:bidi w:val="0"/>
        <w:spacing w:before="0" w:after="0" w:line="283" w:lineRule="auto"/>
        <w:ind w:left="0" w:right="0" w:firstLine="0"/>
        <w:jc w:val="center"/>
        <w:rPr>
          <w:sz w:val="17"/>
          <w:szCs w:val="17"/>
        </w:rPr>
      </w:pPr>
      <w:r>
        <w:rPr>
          <w:rStyle w:val="CharStyle8"/>
          <w:b/>
          <w:bCs/>
          <w:sz w:val="17"/>
          <w:szCs w:val="17"/>
        </w:rPr>
        <w:t>ФЕДЕРАЛЬНАЯ</w:t>
      </w:r>
    </w:p>
    <w:p>
      <w:pPr>
        <w:pStyle w:val="Style7"/>
        <w:keepNext w:val="0"/>
        <w:keepLines w:val="0"/>
        <w:widowControl w:val="0"/>
        <w:shd w:val="clear" w:color="auto" w:fill="auto"/>
        <w:bidi w:val="0"/>
        <w:spacing w:before="0" w:after="120" w:line="283" w:lineRule="auto"/>
        <w:ind w:left="0" w:right="0" w:firstLine="580"/>
        <w:jc w:val="both"/>
        <w:rPr>
          <w:sz w:val="17"/>
          <w:szCs w:val="17"/>
        </w:rPr>
      </w:pPr>
      <w:r>
        <w:rPr>
          <w:rStyle w:val="CharStyle8"/>
          <w:b/>
          <w:bCs/>
          <w:sz w:val="17"/>
          <w:szCs w:val="17"/>
        </w:rPr>
        <w:t>АНТИМОНОПОЛЬНАЯ СЛУЖБА</w:t>
      </w:r>
    </w:p>
    <w:p>
      <w:pPr>
        <w:pStyle w:val="Style10"/>
        <w:keepNext w:val="0"/>
        <w:keepLines w:val="0"/>
        <w:widowControl w:val="0"/>
        <w:shd w:val="clear" w:color="auto" w:fill="auto"/>
        <w:bidi w:val="0"/>
        <w:spacing w:before="0"/>
        <w:ind w:left="0" w:right="0" w:firstLine="0"/>
        <w:jc w:val="center"/>
      </w:pPr>
      <w:r>
        <w:rPr>
          <w:rStyle w:val="CharStyle11"/>
          <w:b/>
          <w:bCs/>
        </w:rPr>
        <w:t>Межрегиональное управление</w:t>
        <w:br/>
        <w:t>Федеральной антимонопольной службы</w:t>
        <w:br/>
        <w:t>по Ярославской области</w:t>
        <w:br/>
        <w:t>и Костромской области</w:t>
      </w:r>
    </w:p>
    <w:p>
      <w:pPr>
        <w:pStyle w:val="Style7"/>
        <w:keepNext w:val="0"/>
        <w:keepLines w:val="0"/>
        <w:widowControl w:val="0"/>
        <w:shd w:val="clear" w:color="auto" w:fill="auto"/>
        <w:bidi w:val="0"/>
        <w:spacing w:before="0" w:after="0" w:line="276" w:lineRule="auto"/>
        <w:ind w:left="0" w:right="0" w:firstLine="0"/>
        <w:jc w:val="center"/>
      </w:pPr>
      <w:r>
        <w:rPr>
          <w:rStyle w:val="CharStyle8"/>
        </w:rPr>
        <w:t>Свободы ул., д. 46, г. Ярославль, 150066</w:t>
        <w:br/>
        <w:t>тел. (4852) 72-95-20, факс (4852) 32-93-71</w:t>
        <w:br/>
      </w:r>
      <w:r>
        <w:rPr>
          <w:rStyle w:val="CharStyle8"/>
          <w:lang w:val="en-US" w:eastAsia="en-US"/>
        </w:rPr>
        <w:t>e-mail: to76@,fas.gov.m</w:t>
      </w:r>
    </w:p>
    <w:p>
      <w:pPr>
        <w:pStyle w:val="Style12"/>
        <w:keepNext/>
        <w:keepLines/>
        <w:widowControl w:val="0"/>
        <w:shd w:val="clear" w:color="auto" w:fill="auto"/>
        <w:tabs>
          <w:tab w:pos="1838" w:val="left"/>
        </w:tabs>
        <w:bidi w:val="0"/>
        <w:spacing w:before="0"/>
        <w:ind w:left="0" w:right="0" w:firstLine="0"/>
        <w:jc w:val="center"/>
      </w:pPr>
      <w:bookmarkStart w:id="0" w:name="bookmark0"/>
      <w:r>
        <w:rPr>
          <w:rStyle w:val="CharStyle13"/>
        </w:rPr>
        <w:t>0</w:t>
      </w:r>
      <w:r>
        <w:fldChar w:fldCharType="begin"/>
      </w:r>
      <w:r>
        <w:rPr/>
        <w:instrText> HYPERLINK "file://f207ca94-a13c-4ba0-b72d-f018c9eed8f1/" </w:instrText>
      </w:r>
      <w:r>
        <w:fldChar w:fldCharType="separate"/>
      </w:r>
      <w:r>
        <w:rPr>
          <w:rStyle w:val="CharStyle13"/>
        </w:rPr>
        <w:t>4,09.2025</w:t>
      </w:r>
      <w:r>
        <w:rPr>
          <w:rStyle w:val="CharStyle13"/>
          <w:u w:val="none"/>
        </w:rPr>
        <w:tab/>
      </w:r>
      <w:r>
        <w:fldChar w:fldCharType="end"/>
      </w:r>
      <w:r>
        <w:rPr>
          <w:rStyle w:val="CharStyle13"/>
          <w:u w:val="none"/>
        </w:rPr>
        <w:t xml:space="preserve">№ </w:t>
      </w:r>
      <w:r>
        <w:rPr>
          <w:rStyle w:val="CharStyle13"/>
        </w:rPr>
        <w:t>АБ/10598/2</w:t>
      </w:r>
      <w:r>
        <w:rPr>
          <w:rStyle w:val="CharStyle13"/>
          <w:u w:val="none"/>
        </w:rPr>
        <w:t>5</w:t>
      </w:r>
      <w:bookmarkEnd w:id="0"/>
    </w:p>
    <w:p>
      <w:pPr>
        <w:pStyle w:val="Style10"/>
        <w:keepNext w:val="0"/>
        <w:keepLines w:val="0"/>
        <w:widowControl w:val="0"/>
        <w:shd w:val="clear" w:color="auto" w:fill="auto"/>
        <w:bidi w:val="0"/>
        <w:spacing w:before="0" w:after="0" w:line="266" w:lineRule="auto"/>
        <w:ind w:left="0" w:right="0" w:firstLine="0"/>
        <w:jc w:val="left"/>
        <w:rPr>
          <w:sz w:val="18"/>
          <w:szCs w:val="18"/>
        </w:rPr>
      </w:pPr>
      <w:r>
        <w:rPr>
          <w:rStyle w:val="CharStyle11"/>
          <w:sz w:val="18"/>
          <w:szCs w:val="18"/>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Индивидуальный предприниматель Пономарев Михаил Дмитриевич </w:t>
      </w:r>
      <w:r>
        <w:fldChar w:fldCharType="begin"/>
      </w:r>
      <w:r>
        <w:rPr/>
        <w:instrText> HYPERLINK "mailto:84957818171@mail.ru" </w:instrText>
      </w:r>
      <w:r>
        <w:fldChar w:fldCharType="separate"/>
      </w:r>
      <w:r>
        <w:rPr>
          <w:rStyle w:val="CharStyle17"/>
          <w:lang w:val="en-US" w:eastAsia="en-US"/>
        </w:rPr>
        <w:t>84957818171@mail.ru</w:t>
      </w:r>
      <w:r>
        <w:fldChar w:fldCharType="end"/>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Управление Федеральной службы государственной регистрации, кадастра и картографии по Ярославской области 150014, Ярославская область, г. Ярославль, пр-кт Толбухина, д. 64а </w:t>
      </w:r>
      <w:r>
        <w:fldChar w:fldCharType="begin"/>
      </w:r>
      <w:r>
        <w:rPr/>
        <w:instrText> HYPERLINK "mailto:mikheev_sn@r76.rosreestr.ru" </w:instrText>
      </w:r>
      <w:r>
        <w:fldChar w:fldCharType="separate"/>
      </w:r>
      <w:r>
        <w:rPr>
          <w:rStyle w:val="CharStyle17"/>
          <w:lang w:val="en-US" w:eastAsia="en-US"/>
        </w:rPr>
        <w:t>mikheev_sn@r76.rosreestr.ru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АО «Сбербанк-АСТ»</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even" r:id="rId6"/>
          <w:footnotePr>
            <w:pos w:val="pageBottom"/>
            <w:numFmt w:val="decimal"/>
            <w:numRestart w:val="continuous"/>
          </w:footnotePr>
          <w:pgSz w:w="11900" w:h="16840"/>
          <w:pgMar w:top="58" w:right="704" w:bottom="938" w:left="1135" w:header="0" w:footer="3" w:gutter="0"/>
          <w:pgNumType w:start="1"/>
          <w:cols w:num="2" w:space="720" w:equalWidth="0">
            <w:col w:w="4320" w:space="950"/>
            <w:col w:w="4790"/>
          </w:cols>
          <w:noEndnote/>
          <w:rtlGutter w:val="0"/>
          <w:docGrid w:linePitch="360"/>
        </w:sectPr>
      </w:pPr>
      <w:r>
        <w:rPr>
          <w:rStyle w:val="CharStyle17"/>
        </w:rPr>
        <w:t xml:space="preserve">119435, город Москва, Большой Саввинский пер., д. 12 стр. 9, эт/пом/ком </w:t>
      </w:r>
      <w:r>
        <w:rPr>
          <w:rStyle w:val="CharStyle17"/>
          <w:lang w:val="en-US" w:eastAsia="en-US"/>
        </w:rPr>
        <w:t xml:space="preserve">1/I/2 </w:t>
      </w:r>
      <w:r>
        <w:fldChar w:fldCharType="begin"/>
      </w:r>
      <w:r>
        <w:rPr/>
        <w:instrText> HYPERLINK "mailto:info@sberbank-ast.ru" </w:instrText>
      </w:r>
      <w:r>
        <w:fldChar w:fldCharType="separate"/>
      </w:r>
      <w:r>
        <w:rPr>
          <w:rStyle w:val="CharStyle17"/>
          <w:lang w:val="en-US" w:eastAsia="en-US"/>
        </w:rPr>
        <w:t>info@sberbank-ast.ru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938"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0" w:right="0" w:firstLine="0"/>
        <w:jc w:val="center"/>
      </w:pPr>
      <w:r>
        <w:rPr>
          <w:rStyle w:val="CharStyle17"/>
        </w:rPr>
        <w:t>РЕШЕНИЕ</w:t>
        <w:br/>
        <w:t>по делу № 076/06/106-1125/2025</w:t>
      </w:r>
    </w:p>
    <w:p>
      <w:pPr>
        <w:pStyle w:val="Style16"/>
        <w:keepNext w:val="0"/>
        <w:keepLines w:val="0"/>
        <w:widowControl w:val="0"/>
        <w:shd w:val="clear" w:color="auto" w:fill="auto"/>
        <w:bidi w:val="0"/>
        <w:spacing w:before="0" w:after="0" w:line="240" w:lineRule="auto"/>
        <w:ind w:left="0" w:right="0" w:firstLine="740"/>
        <w:jc w:val="left"/>
      </w:pPr>
      <w:r>
        <w:rPr>
          <w:rStyle w:val="CharStyle17"/>
        </w:rPr>
        <w:t>Резолютивная часть решения объявлена 1 сентября 2025 года</w:t>
      </w:r>
    </w:p>
    <w:p>
      <w:pPr>
        <w:pStyle w:val="Style16"/>
        <w:keepNext w:val="0"/>
        <w:keepLines w:val="0"/>
        <w:widowControl w:val="0"/>
        <w:shd w:val="clear" w:color="auto" w:fill="auto"/>
        <w:bidi w:val="0"/>
        <w:spacing w:before="0" w:after="280" w:line="240" w:lineRule="auto"/>
        <w:ind w:left="0" w:right="0" w:firstLine="740"/>
        <w:jc w:val="left"/>
      </w:pPr>
      <w:r>
        <w:rPr>
          <w:rStyle w:val="CharStyle17"/>
        </w:rPr>
        <w:t>Решение изготовлено в полном объеме 4 сентября 2025 года г. Ярославль</w:t>
      </w:r>
    </w:p>
    <w:p>
      <w:pPr>
        <w:pStyle w:val="Style16"/>
        <w:keepNext w:val="0"/>
        <w:keepLines w:val="0"/>
        <w:widowControl w:val="0"/>
        <w:shd w:val="clear" w:color="auto" w:fill="auto"/>
        <w:bidi w:val="0"/>
        <w:spacing w:before="0" w:after="0" w:line="240" w:lineRule="auto"/>
        <w:ind w:left="0" w:right="0" w:firstLine="740"/>
        <w:jc w:val="both"/>
      </w:pPr>
      <w:r>
        <w:rPr>
          <w:rStyle w:val="CharStyle17"/>
        </w:rPr>
        <w:t>Комиссия Межрегионального управления Федеральной антимонопольной службы по Ярославской области и Костромской области (Ярославское межрегиональное УФАС России) (далее также – Комиссия) в составе: председатель Комиссии – заместитель руководителя управления Бубнов А.М., члены Комиссии – начальник отдела контроля закупок Семенычева Е.К., главный специалист-эксперт отдела контроля закупок Хлынина Я.В., с участием: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заявитель – индивидуальный предприниматель Пономарев Михаил Дмитриевич (далее также – ИП Пономарев М.Д., заявитель, индивидуальный предприниматель), участие в рассмотрении жалобы не обеспечил, о времени, дате и месте рассмотрения жалобы уведомлен надлежащим образом,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заказчик – управление Федеральной службы государственной регистрации, кадастра и картографии по Ярославской области (далее также – управление Росреестра по Ярославской области), обеспечил участие в рассмотрении жалобы представителей по доверенности Бояровой А.А., Морозовой О.И., Данилова А.М.,</w:t>
      </w:r>
    </w:p>
    <w:p>
      <w:pPr>
        <w:pStyle w:val="Style16"/>
        <w:keepNext w:val="0"/>
        <w:keepLines w:val="0"/>
        <w:widowControl w:val="0"/>
        <w:shd w:val="clear" w:color="auto" w:fill="auto"/>
        <w:bidi w:val="0"/>
        <w:spacing w:before="0" w:after="280" w:line="240" w:lineRule="auto"/>
        <w:ind w:left="0" w:right="0" w:firstLine="740"/>
        <w:jc w:val="both"/>
      </w:pPr>
      <w:r>
        <w:rPr>
          <w:rStyle w:val="CharStyle17"/>
        </w:rPr>
        <w:t>оператор электронной площадки – АО «Сбербанк-АСТ», участие в рассмотрении жалобы не обеспечил, о времени, дате и месте рассмотрения жалобы</w:t>
      </w:r>
    </w:p>
    <w:p>
      <w:pPr>
        <w:pStyle w:val="Style18"/>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58" w:right="537" w:bottom="938" w:left="1097" w:header="0" w:footer="3" w:gutter="0"/>
          <w:cols w:space="720"/>
          <w:noEndnote/>
          <w:rtlGutter w:val="0"/>
          <w:docGrid w:linePitch="360"/>
        </w:sectPr>
      </w:pPr>
      <w:bookmarkStart w:id="2" w:name="bookmark2"/>
      <w:r>
        <w:rPr>
          <w:rStyle w:val="CharStyle19"/>
        </w:rPr>
        <w:t>1IIIIIIIIIIIIIIIIIIIIIII</w:t>
      </w:r>
      <w:bookmarkEnd w:id="2"/>
    </w:p>
    <w:p>
      <w:pPr>
        <w:pStyle w:val="Style16"/>
        <w:keepNext w:val="0"/>
        <w:keepLines w:val="0"/>
        <w:widowControl w:val="0"/>
        <w:shd w:val="clear" w:color="auto" w:fill="auto"/>
        <w:bidi w:val="0"/>
        <w:spacing w:before="0" w:after="0" w:line="240" w:lineRule="auto"/>
        <w:ind w:left="0" w:right="0" w:firstLine="0"/>
        <w:jc w:val="both"/>
      </w:pPr>
      <w:r>
        <w:rPr>
          <w:rStyle w:val="CharStyle17"/>
        </w:rPr>
        <w:t>уведомлен надлежащим образом,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рассмотрев жалобу ИП Пономарева М.Д. на действия заказчика, управления Федеральной службы государственной регистрации, кадастра и картографии по Ярославской области, при проведении аукциона в электронной форме на право заключения контракта на поставку и монтаж системы видеонаблюдения взамен вышедшей из строя в здании Управления Росреестра по Ярославской области, расположенном по адресу: г. Ярославль, пр-т Толбухина, д. 64а (извещение </w:t>
      </w:r>
      <w:r>
        <w:rPr>
          <w:rStyle w:val="CharStyle17"/>
          <w:lang w:val="en-US" w:eastAsia="en-US"/>
        </w:rPr>
        <w:t xml:space="preserve">№ 0371100009625000023) </w:t>
      </w:r>
      <w:r>
        <w:rPr>
          <w:rStyle w:val="CharStyle17"/>
        </w:rPr>
        <w:t xml:space="preserve">(далее также </w:t>
      </w:r>
      <w:r>
        <w:rPr>
          <w:rStyle w:val="CharStyle17"/>
          <w:lang w:val="en-US" w:eastAsia="en-US"/>
        </w:rPr>
        <w:t xml:space="preserve">– </w:t>
      </w:r>
      <w:r>
        <w:rPr>
          <w:rStyle w:val="CharStyle17"/>
        </w:rPr>
        <w:t xml:space="preserve">закупка), и в результате осуществления внеплановой проверки в соответствии с частью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7"/>
          <w:lang w:val="en-US" w:eastAsia="en-US"/>
        </w:rPr>
        <w:t xml:space="preserve">- </w:t>
      </w:r>
      <w:r>
        <w:rPr>
          <w:rStyle w:val="CharStyle17"/>
        </w:rPr>
        <w:t xml:space="preserve">Федеральный закон от </w:t>
      </w:r>
      <w:r>
        <w:rPr>
          <w:rStyle w:val="CharStyle17"/>
          <w:lang w:val="en-US" w:eastAsia="en-US"/>
        </w:rPr>
        <w:t xml:space="preserve">05.04.2013 № </w:t>
      </w:r>
      <w:r>
        <w:rPr>
          <w:rStyle w:val="CharStyle17"/>
        </w:rPr>
        <w:t>44-ФЗ, законодательство о контрактной системе),</w:t>
      </w:r>
    </w:p>
    <w:p>
      <w:pPr>
        <w:pStyle w:val="Style16"/>
        <w:keepNext w:val="0"/>
        <w:keepLines w:val="0"/>
        <w:widowControl w:val="0"/>
        <w:shd w:val="clear" w:color="auto" w:fill="auto"/>
        <w:bidi w:val="0"/>
        <w:spacing w:before="0" w:after="340" w:line="240" w:lineRule="auto"/>
        <w:ind w:left="0" w:right="0" w:firstLine="0"/>
        <w:jc w:val="center"/>
      </w:pPr>
      <w:r>
        <w:rPr>
          <w:rStyle w:val="CharStyle17"/>
        </w:rPr>
        <w:t>установила: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 Ярославское межрегиональное УФАС России поступила жалоба ИП Пономарева М.Д. на действия заказчика, управления Федеральной службы государственной регистрации, кадастра и картографии по Ярославской области, при проведении аукциона в электронной форме на право заключения контракта на поставку и монтаж системы видеонаблюдения взамен вышедшей из строя в здании Управления Росреестра по Ярославской области, расположенном по адресу: г. Ярославль, пр-т Толбухина, д. 64а (извещение </w:t>
      </w:r>
      <w:r>
        <w:rPr>
          <w:rStyle w:val="CharStyle17"/>
          <w:lang w:val="en-US" w:eastAsia="en-US"/>
        </w:rPr>
        <w:t>№ 0371100009625000023).</w:t>
      </w:r>
    </w:p>
    <w:p>
      <w:pPr>
        <w:pStyle w:val="Style16"/>
        <w:keepNext w:val="0"/>
        <w:keepLines w:val="0"/>
        <w:widowControl w:val="0"/>
        <w:shd w:val="clear" w:color="auto" w:fill="auto"/>
        <w:bidi w:val="0"/>
        <w:spacing w:before="0" w:after="0" w:line="240" w:lineRule="auto"/>
        <w:ind w:left="0" w:right="0" w:firstLine="740"/>
        <w:jc w:val="both"/>
      </w:pPr>
      <w:r>
        <w:rPr>
          <w:rStyle w:val="CharStyle17"/>
        </w:rPr>
        <w:t>Заявитель полагает, что извещение об осуществлении закупки сформировано заказчиком с нарушением требований законодательства о контрактной системе:</w:t>
      </w:r>
    </w:p>
    <w:p>
      <w:pPr>
        <w:pStyle w:val="Style16"/>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rStyle w:val="CharStyle17"/>
        </w:rPr>
        <w:t>описание объекта закупки сформировано таким образом, что под его требования не подпадает товар минимум двух разных производителей, что влечет за собой ограничение числа потенциальных участников закупки;</w:t>
      </w:r>
    </w:p>
    <w:p>
      <w:pPr>
        <w:pStyle w:val="Style16"/>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rStyle w:val="CharStyle17"/>
        </w:rPr>
        <w:t>начальная (максимальная) цена контракта определена с нарушением законодательства о контрактной системе;</w:t>
      </w:r>
    </w:p>
    <w:p>
      <w:pPr>
        <w:pStyle w:val="Style16"/>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rStyle w:val="CharStyle17"/>
        </w:rPr>
        <w:t>при формировании описания объекта закупки применена позиция ОКПД2, которая фактически не соответствует потребности заказчика, отражённой в аукционной документации;</w:t>
      </w:r>
    </w:p>
    <w:p>
      <w:pPr>
        <w:pStyle w:val="Style16"/>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rStyle w:val="CharStyle17"/>
        </w:rPr>
        <w:t>в описание объекта закупки неправомерно включены работы по монтажу требуемого к поставке оборудования;</w:t>
      </w:r>
    </w:p>
    <w:p>
      <w:pPr>
        <w:pStyle w:val="Style16"/>
        <w:keepNext w:val="0"/>
        <w:keepLines w:val="0"/>
        <w:widowControl w:val="0"/>
        <w:numPr>
          <w:ilvl w:val="0"/>
          <w:numId w:val="1"/>
        </w:numPr>
        <w:shd w:val="clear" w:color="auto" w:fill="auto"/>
        <w:tabs>
          <w:tab w:pos="1128" w:val="left"/>
        </w:tabs>
        <w:bidi w:val="0"/>
        <w:spacing w:before="0" w:after="0" w:line="240" w:lineRule="auto"/>
        <w:ind w:left="0" w:right="0" w:firstLine="740"/>
        <w:jc w:val="both"/>
      </w:pPr>
      <w:r>
        <w:rPr>
          <w:rStyle w:val="CharStyle17"/>
        </w:rPr>
        <w:t>заказчиком были опубликованы ответы на запросы о разъяснении положений извещения (заказчик не опубликовал данные запросы в полном объеме). При этом после размещения ответов на запросы, заказчик вносил изменения в извещение, что подтверждает наличие нарушений, допущенных при формировании извещения.</w:t>
      </w:r>
    </w:p>
    <w:p>
      <w:pPr>
        <w:pStyle w:val="Style16"/>
        <w:keepNext w:val="0"/>
        <w:keepLines w:val="0"/>
        <w:widowControl w:val="0"/>
        <w:shd w:val="clear" w:color="auto" w:fill="auto"/>
        <w:bidi w:val="0"/>
        <w:spacing w:before="0" w:after="0" w:line="240" w:lineRule="auto"/>
        <w:ind w:left="0" w:right="0" w:firstLine="740"/>
        <w:jc w:val="both"/>
        <w:sectPr>
          <w:headerReference w:type="default" r:id="rId7"/>
          <w:footerReference w:type="default" r:id="rId8"/>
          <w:headerReference w:type="even" r:id="rId9"/>
          <w:footerReference w:type="even" r:id="rId10"/>
          <w:footnotePr>
            <w:pos w:val="pageBottom"/>
            <w:numFmt w:val="decimal"/>
            <w:numRestart w:val="continuous"/>
          </w:footnotePr>
          <w:pgSz w:w="11900" w:h="16840"/>
          <w:pgMar w:top="1666" w:right="545" w:bottom="1575" w:left="1101" w:header="0" w:footer="3" w:gutter="0"/>
          <w:cols w:space="720"/>
          <w:noEndnote/>
          <w:rtlGutter w:val="0"/>
          <w:docGrid w:linePitch="360"/>
        </w:sectPr>
      </w:pPr>
      <w:r>
        <w:rPr>
          <w:rStyle w:val="CharStyle17"/>
        </w:rPr>
        <w:t>Заказчик с доводами жалобы не согласился, представил письменные пояснения относительно доводов, изложенных в жалобе, просит признать жалобу заявителя необоснованной.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Изучив представленные документы и материалы, Комиссия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Заказчиком в единой информационной системе на официальном сайте </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 xml:space="preserve">ЕИС) </w:t>
      </w:r>
      <w:r>
        <w:rPr>
          <w:rStyle w:val="CharStyle17"/>
          <w:lang w:val="en-US" w:eastAsia="en-US"/>
        </w:rPr>
        <w:t xml:space="preserve">15.08.2025 </w:t>
      </w:r>
      <w:r>
        <w:rPr>
          <w:rStyle w:val="CharStyle17"/>
        </w:rPr>
        <w:t xml:space="preserve">размещено извещение </w:t>
      </w:r>
      <w:r>
        <w:rPr>
          <w:rStyle w:val="CharStyle17"/>
          <w:lang w:val="en-US" w:eastAsia="en-US"/>
        </w:rPr>
        <w:t xml:space="preserve">№ 0371100009625000023 </w:t>
      </w:r>
      <w:r>
        <w:rPr>
          <w:rStyle w:val="CharStyle17"/>
        </w:rPr>
        <w:t>об осуществлении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Начальная (максимальная) цена контракта составила </w:t>
      </w:r>
      <w:r>
        <w:rPr>
          <w:rStyle w:val="CharStyle17"/>
          <w:lang w:val="en-US" w:eastAsia="en-US"/>
        </w:rPr>
        <w:t xml:space="preserve">1 614 000,00 </w:t>
      </w:r>
      <w:r>
        <w:rPr>
          <w:rStyle w:val="CharStyle17"/>
        </w:rPr>
        <w:t>рублей.</w:t>
      </w:r>
    </w:p>
    <w:p>
      <w:pPr>
        <w:pStyle w:val="Style16"/>
        <w:keepNext w:val="0"/>
        <w:keepLines w:val="0"/>
        <w:widowControl w:val="0"/>
        <w:shd w:val="clear" w:color="auto" w:fill="auto"/>
        <w:bidi w:val="0"/>
        <w:spacing w:before="0" w:after="0" w:line="240" w:lineRule="auto"/>
        <w:ind w:left="0" w:right="0" w:firstLine="720"/>
        <w:jc w:val="both"/>
      </w:pPr>
      <w:r>
        <w:rPr>
          <w:rStyle w:val="CharStyle17"/>
          <w:b/>
          <w:bCs/>
        </w:rPr>
        <w:t>В отношении первого довода заявителя Комиссия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49 </w:t>
      </w:r>
      <w:r>
        <w:rPr>
          <w:rStyle w:val="CharStyle17"/>
        </w:rPr>
        <w:t xml:space="preserve">Федерального закона от </w:t>
      </w:r>
      <w:r>
        <w:rPr>
          <w:rStyle w:val="CharStyle17"/>
          <w:lang w:val="en-US" w:eastAsia="en-US"/>
        </w:rPr>
        <w:t xml:space="preserve">05.04.2013 № 44- </w:t>
      </w:r>
      <w:r>
        <w:rPr>
          <w:rStyle w:val="CharStyle17"/>
        </w:rPr>
        <w:t>ФЗ электронный аукцион начинается с размещения в единой информационной системе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силу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 xml:space="preserve">44-ФЗ извещение об осуществлении закупки, если иное не предусмотрено настоящим Федеральным законом, должно содержать в числе прочего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 (в форме электронного документа).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44-ФЗ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Описание объекта закупки в соответствии с требованиями, указанными в части </w:t>
      </w:r>
      <w:r>
        <w:rPr>
          <w:rStyle w:val="CharStyle17"/>
          <w:lang w:val="en-US" w:eastAsia="en-US"/>
        </w:rPr>
        <w:t xml:space="preserve">1 </w:t>
      </w:r>
      <w:r>
        <w:rPr>
          <w:rStyle w:val="CharStyle17"/>
        </w:rPr>
        <w:t xml:space="preserve">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(часть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Исходя из извещения об осуществлении закупки (электронный документ «Описание объекта закупки»), объектом закупки является система видеонаблюдения с соответствующими техническими характеристиками, состоящая из:</w:t>
      </w:r>
    </w:p>
    <w:p>
      <w:pPr>
        <w:pStyle w:val="Style16"/>
        <w:keepNext w:val="0"/>
        <w:keepLines w:val="0"/>
        <w:widowControl w:val="0"/>
        <w:numPr>
          <w:ilvl w:val="0"/>
          <w:numId w:val="3"/>
        </w:numPr>
        <w:shd w:val="clear" w:color="auto" w:fill="auto"/>
        <w:tabs>
          <w:tab w:pos="948" w:val="left"/>
        </w:tabs>
        <w:bidi w:val="0"/>
        <w:spacing w:before="0" w:after="0" w:line="240" w:lineRule="auto"/>
        <w:ind w:left="0" w:right="0" w:firstLine="720"/>
        <w:jc w:val="both"/>
      </w:pPr>
      <w:r>
        <w:rPr>
          <w:rStyle w:val="CharStyle17"/>
        </w:rPr>
        <w:t xml:space="preserve">Уличные </w:t>
      </w:r>
      <w:r>
        <w:rPr>
          <w:rStyle w:val="CharStyle17"/>
          <w:lang w:val="en-US" w:eastAsia="en-US"/>
        </w:rPr>
        <w:t>IP-видеокамеры;</w:t>
      </w:r>
    </w:p>
    <w:p>
      <w:pPr>
        <w:pStyle w:val="Style16"/>
        <w:keepNext w:val="0"/>
        <w:keepLines w:val="0"/>
        <w:widowControl w:val="0"/>
        <w:numPr>
          <w:ilvl w:val="0"/>
          <w:numId w:val="3"/>
        </w:numPr>
        <w:shd w:val="clear" w:color="auto" w:fill="auto"/>
        <w:tabs>
          <w:tab w:pos="948" w:val="left"/>
        </w:tabs>
        <w:bidi w:val="0"/>
        <w:spacing w:before="0" w:after="0" w:line="240" w:lineRule="auto"/>
        <w:ind w:left="0" w:right="0" w:firstLine="720"/>
        <w:jc w:val="both"/>
      </w:pPr>
      <w:r>
        <w:rPr>
          <w:rStyle w:val="CharStyle17"/>
        </w:rPr>
        <w:t xml:space="preserve">Внутренние </w:t>
      </w:r>
      <w:r>
        <w:rPr>
          <w:rStyle w:val="CharStyle17"/>
          <w:lang w:val="en-US" w:eastAsia="en-US"/>
        </w:rPr>
        <w:t>IP-видеокамеры;</w:t>
      </w:r>
    </w:p>
    <w:p>
      <w:pPr>
        <w:pStyle w:val="Style16"/>
        <w:keepNext w:val="0"/>
        <w:keepLines w:val="0"/>
        <w:widowControl w:val="0"/>
        <w:numPr>
          <w:ilvl w:val="0"/>
          <w:numId w:val="3"/>
        </w:numPr>
        <w:shd w:val="clear" w:color="auto" w:fill="auto"/>
        <w:tabs>
          <w:tab w:pos="948" w:val="left"/>
        </w:tabs>
        <w:bidi w:val="0"/>
        <w:spacing w:before="0" w:after="0" w:line="240" w:lineRule="auto"/>
        <w:ind w:left="0" w:right="0" w:firstLine="720"/>
        <w:jc w:val="both"/>
      </w:pPr>
      <w:r>
        <w:rPr>
          <w:rStyle w:val="CharStyle17"/>
        </w:rPr>
        <w:t>Видеорегистратор;</w:t>
      </w:r>
    </w:p>
    <w:p>
      <w:pPr>
        <w:pStyle w:val="Style16"/>
        <w:keepNext w:val="0"/>
        <w:keepLines w:val="0"/>
        <w:widowControl w:val="0"/>
        <w:numPr>
          <w:ilvl w:val="0"/>
          <w:numId w:val="3"/>
        </w:numPr>
        <w:shd w:val="clear" w:color="auto" w:fill="auto"/>
        <w:tabs>
          <w:tab w:pos="948" w:val="left"/>
        </w:tabs>
        <w:bidi w:val="0"/>
        <w:spacing w:before="0" w:after="0" w:line="240" w:lineRule="auto"/>
        <w:ind w:left="0" w:right="0" w:firstLine="720"/>
        <w:jc w:val="both"/>
      </w:pPr>
      <w:r>
        <w:rPr>
          <w:rStyle w:val="CharStyle17"/>
        </w:rPr>
        <w:t>Коммутаторы.</w:t>
      </w:r>
    </w:p>
    <w:p>
      <w:pPr>
        <w:pStyle w:val="Style16"/>
        <w:keepNext w:val="0"/>
        <w:keepLines w:val="0"/>
        <w:widowControl w:val="0"/>
        <w:shd w:val="clear" w:color="auto" w:fill="auto"/>
        <w:bidi w:val="0"/>
        <w:spacing w:before="0" w:after="0" w:line="271" w:lineRule="auto"/>
        <w:ind w:left="0" w:right="0" w:firstLine="720"/>
        <w:jc w:val="both"/>
        <w:rPr>
          <w:sz w:val="24"/>
          <w:szCs w:val="24"/>
        </w:rPr>
        <w:sectPr>
          <w:footnotePr>
            <w:pos w:val="pageBottom"/>
            <w:numFmt w:val="decimal"/>
            <w:numRestart w:val="continuous"/>
          </w:footnotePr>
          <w:pgSz w:w="11900" w:h="16840"/>
          <w:pgMar w:top="1666" w:right="541" w:bottom="1080" w:left="1106" w:header="0" w:footer="3" w:gutter="0"/>
          <w:cols w:space="720"/>
          <w:noEndnote/>
          <w:rtlGutter w:val="0"/>
          <w:docGrid w:linePitch="360"/>
        </w:sectPr>
      </w:pPr>
      <w:r>
        <w:rPr>
          <w:rStyle w:val="CharStyle17"/>
        </w:rPr>
        <w:t xml:space="preserve">В пункте </w:t>
      </w:r>
      <w:r>
        <w:rPr>
          <w:rStyle w:val="CharStyle17"/>
          <w:lang w:val="en-US" w:eastAsia="en-US"/>
        </w:rPr>
        <w:t xml:space="preserve">1 </w:t>
      </w:r>
      <w:r>
        <w:rPr>
          <w:rStyle w:val="CharStyle17"/>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w:t>
      </w:r>
      <w:r>
        <w:rPr>
          <w:rStyle w:val="CharStyle17"/>
          <w:lang w:val="en-US" w:eastAsia="en-US"/>
        </w:rPr>
        <w:t xml:space="preserve">28.06.2017, </w:t>
      </w:r>
      <w:r>
        <w:rPr>
          <w:rStyle w:val="CharStyle17"/>
        </w:rPr>
        <w:t xml:space="preserve">разъяснено, что по общему правилу указание заказчиком в аукционной документации особых характеристик в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отношении объекта закупки,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пункту </w:t>
      </w:r>
      <w:r>
        <w:rPr>
          <w:rStyle w:val="CharStyle17"/>
          <w:lang w:val="en-US" w:eastAsia="en-US"/>
        </w:rPr>
        <w:t xml:space="preserve">2 </w:t>
      </w:r>
      <w:r>
        <w:rPr>
          <w:rStyle w:val="CharStyle17"/>
        </w:rPr>
        <w:t xml:space="preserve">данного Обзора Верховного Суда РФ, включение заказчиком в аукционную документацию требований к поставляемому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Вместе с тем объект закупки должен быть сформирован таким образом, чтобы совокупности характеристик товаров 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7"/>
          <w:lang w:val="en-US" w:eastAsia="en-US"/>
        </w:rPr>
        <w:t xml:space="preserve">33 </w:t>
      </w:r>
      <w:r>
        <w:rPr>
          <w:rStyle w:val="CharStyle17"/>
        </w:rPr>
        <w:t xml:space="preserve">Закона </w:t>
      </w:r>
      <w:r>
        <w:rPr>
          <w:rStyle w:val="CharStyle17"/>
          <w:lang w:val="en-US" w:eastAsia="en-US"/>
        </w:rPr>
        <w:t xml:space="preserve">№ </w:t>
      </w:r>
      <w:r>
        <w:rPr>
          <w:rStyle w:val="CharStyle17"/>
        </w:rPr>
        <w:t xml:space="preserve">44-ФЗ (Письмо ФАС России от </w:t>
      </w:r>
      <w:r>
        <w:rPr>
          <w:rStyle w:val="CharStyle17"/>
          <w:lang w:val="en-US" w:eastAsia="en-US"/>
        </w:rPr>
        <w:t>21.03.2025 № 28/26176/25).</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Таким образом, при формировании описания объекта закупки заказчику в рамках Федерального закона от </w:t>
      </w:r>
      <w:r>
        <w:rPr>
          <w:rStyle w:val="CharStyle17"/>
          <w:lang w:val="en-US" w:eastAsia="en-US"/>
        </w:rPr>
        <w:t xml:space="preserve">05.04.2013 № </w:t>
      </w:r>
      <w:r>
        <w:rPr>
          <w:rStyle w:val="CharStyle17"/>
        </w:rPr>
        <w:t>44-ФЗ предоставлены полномочия по самостоятельному определению параметров и характеристик товара, в наибольшей степени удовлетворяющих потребности последних. Однако из буквального толкования вышеприведенных положений закона о контрактной системе и судебной практики следует, что заказчики, осуществляющие закупку, при описании объекта закупки, должны таким образом указать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Заказчик пояснил, что, проанализировав информацию (характеристики оборудования), размещённую на официальном сайте Минпромторга </w:t>
      </w:r>
      <w:r>
        <w:rPr>
          <w:rStyle w:val="CharStyle17"/>
          <w:lang w:val="en-US" w:eastAsia="en-US"/>
        </w:rPr>
        <w:t xml:space="preserve">– </w:t>
      </w:r>
      <w:r>
        <w:rPr>
          <w:rStyle w:val="CharStyle17"/>
        </w:rPr>
        <w:t xml:space="preserve">«ГИСП» </w:t>
      </w:r>
      <w:r>
        <w:fldChar w:fldCharType="begin"/>
      </w:r>
      <w:r>
        <w:rPr/>
        <w:instrText> HYPERLINK "https://gisp.gov.ru/pp719v2/pub/prod/" </w:instrText>
      </w:r>
      <w:r>
        <w:fldChar w:fldCharType="separate"/>
      </w:r>
      <w:r>
        <w:rPr>
          <w:rStyle w:val="CharStyle17"/>
          <w:lang w:val="en-US" w:eastAsia="en-US"/>
        </w:rPr>
        <w:t>(</w:t>
      </w:r>
      <w:r>
        <w:rPr>
          <w:rStyle w:val="CharStyle17"/>
          <w:color w:val="000080"/>
          <w:u w:val="single"/>
          <w:lang w:val="en-US" w:eastAsia="en-US"/>
        </w:rPr>
        <w:t>https://gisp.gov.ru/pp719v2/pub/prod/</w:t>
      </w:r>
      <w:r>
        <w:fldChar w:fldCharType="end"/>
      </w:r>
      <w:r>
        <w:rPr>
          <w:rStyle w:val="CharStyle17"/>
          <w:lang w:val="en-US" w:eastAsia="en-US"/>
        </w:rPr>
        <w:t xml:space="preserve">), </w:t>
      </w:r>
      <w:r>
        <w:rPr>
          <w:rStyle w:val="CharStyle17"/>
        </w:rPr>
        <w:t>и сведения с сайтов производителей, пришел к выводу, что под установленные в описании объекта закупки характеристики:</w:t>
      </w:r>
    </w:p>
    <w:p>
      <w:pPr>
        <w:pStyle w:val="Style16"/>
        <w:keepNext w:val="0"/>
        <w:keepLines w:val="0"/>
        <w:widowControl w:val="0"/>
        <w:numPr>
          <w:ilvl w:val="0"/>
          <w:numId w:val="3"/>
        </w:numPr>
        <w:shd w:val="clear" w:color="auto" w:fill="auto"/>
        <w:tabs>
          <w:tab w:pos="1019" w:val="left"/>
        </w:tabs>
        <w:bidi w:val="0"/>
        <w:spacing w:before="0" w:after="0" w:line="240" w:lineRule="auto"/>
        <w:ind w:left="0" w:right="0" w:firstLine="740"/>
        <w:jc w:val="both"/>
      </w:pPr>
      <w:r>
        <w:rPr>
          <w:rStyle w:val="CharStyle17"/>
        </w:rPr>
        <w:t xml:space="preserve">уличных </w:t>
      </w:r>
      <w:r>
        <w:rPr>
          <w:rStyle w:val="CharStyle17"/>
          <w:lang w:val="en-US" w:eastAsia="en-US"/>
        </w:rPr>
        <w:t xml:space="preserve">IP-видеокамер </w:t>
      </w:r>
      <w:r>
        <w:rPr>
          <w:rStyle w:val="CharStyle17"/>
        </w:rPr>
        <w:t xml:space="preserve">подходит товар </w:t>
      </w:r>
      <w:r>
        <w:rPr>
          <w:rStyle w:val="CharStyle17"/>
          <w:lang w:val="en-US" w:eastAsia="en-US"/>
        </w:rPr>
        <w:t xml:space="preserve">3 </w:t>
      </w:r>
      <w:r>
        <w:rPr>
          <w:rStyle w:val="CharStyle17"/>
        </w:rPr>
        <w:t xml:space="preserve">разных производителей (российского происхождения </w:t>
      </w:r>
      <w:r>
        <w:rPr>
          <w:rStyle w:val="CharStyle17"/>
          <w:lang w:val="en-US" w:eastAsia="en-US"/>
        </w:rPr>
        <w:t xml:space="preserve">– IP-камера </w:t>
      </w:r>
      <w:r>
        <w:rPr>
          <w:rStyle w:val="CharStyle17"/>
        </w:rPr>
        <w:t xml:space="preserve">ООО НПП «ТРАССИР» </w:t>
      </w:r>
      <w:r>
        <w:rPr>
          <w:rStyle w:val="CharStyle17"/>
          <w:lang w:val="en-US" w:eastAsia="en-US"/>
        </w:rPr>
        <w:t xml:space="preserve">IP-TRASSIR TR- D2151R3 v2 (D) 3.6; </w:t>
      </w:r>
      <w:r>
        <w:rPr>
          <w:rStyle w:val="CharStyle17"/>
        </w:rPr>
        <w:t xml:space="preserve">иностранного происхождения </w:t>
      </w:r>
      <w:r>
        <w:rPr>
          <w:rStyle w:val="CharStyle17"/>
          <w:lang w:val="en-US" w:eastAsia="en-US"/>
        </w:rPr>
        <w:t xml:space="preserve">- IP-камера HiWatch IPC-B042- G2/U (4 </w:t>
      </w:r>
      <w:r>
        <w:rPr>
          <w:rStyle w:val="CharStyle17"/>
        </w:rPr>
        <w:t xml:space="preserve">мм), </w:t>
      </w:r>
      <w:r>
        <w:rPr>
          <w:rStyle w:val="CharStyle17"/>
          <w:lang w:val="en-US" w:eastAsia="en-US"/>
        </w:rPr>
        <w:t>IP-камера Uniview IPC2124LE-ADF40KMC-DL);</w:t>
      </w:r>
    </w:p>
    <w:p>
      <w:pPr>
        <w:pStyle w:val="Style16"/>
        <w:keepNext w:val="0"/>
        <w:keepLines w:val="0"/>
        <w:widowControl w:val="0"/>
        <w:numPr>
          <w:ilvl w:val="0"/>
          <w:numId w:val="3"/>
        </w:numPr>
        <w:shd w:val="clear" w:color="auto" w:fill="auto"/>
        <w:tabs>
          <w:tab w:pos="1019" w:val="left"/>
        </w:tabs>
        <w:bidi w:val="0"/>
        <w:spacing w:before="0" w:after="0" w:line="240" w:lineRule="auto"/>
        <w:ind w:left="0" w:right="0" w:firstLine="740"/>
        <w:jc w:val="both"/>
      </w:pPr>
      <w:r>
        <w:rPr>
          <w:rStyle w:val="CharStyle17"/>
        </w:rPr>
        <w:t xml:space="preserve">внутренних </w:t>
      </w:r>
      <w:r>
        <w:rPr>
          <w:rStyle w:val="CharStyle17"/>
          <w:lang w:val="en-US" w:eastAsia="en-US"/>
        </w:rPr>
        <w:t xml:space="preserve">IP-видеокамер </w:t>
      </w:r>
      <w:r>
        <w:rPr>
          <w:rStyle w:val="CharStyle17"/>
        </w:rPr>
        <w:t xml:space="preserve">подходит товар </w:t>
      </w:r>
      <w:r>
        <w:rPr>
          <w:rStyle w:val="CharStyle17"/>
          <w:lang w:val="en-US" w:eastAsia="en-US"/>
        </w:rPr>
        <w:t xml:space="preserve">3 </w:t>
      </w:r>
      <w:r>
        <w:rPr>
          <w:rStyle w:val="CharStyle17"/>
        </w:rPr>
        <w:t xml:space="preserve">разных производителей (российского происхождения </w:t>
      </w:r>
      <w:r>
        <w:rPr>
          <w:rStyle w:val="CharStyle17"/>
          <w:lang w:val="en-US" w:eastAsia="en-US"/>
        </w:rPr>
        <w:t xml:space="preserve">– IP-камера </w:t>
      </w:r>
      <w:r>
        <w:rPr>
          <w:rStyle w:val="CharStyle17"/>
        </w:rPr>
        <w:t xml:space="preserve">ООО НПП «ТРАССИР» </w:t>
      </w:r>
      <w:r>
        <w:rPr>
          <w:rStyle w:val="CharStyle17"/>
          <w:lang w:val="en-US" w:eastAsia="en-US"/>
        </w:rPr>
        <w:t xml:space="preserve">IP-TRASSIR TR- D2S1 v3 3.6; </w:t>
      </w:r>
      <w:r>
        <w:rPr>
          <w:rStyle w:val="CharStyle17"/>
        </w:rPr>
        <w:t xml:space="preserve">иностранного происхождения </w:t>
      </w:r>
      <w:r>
        <w:rPr>
          <w:rStyle w:val="CharStyle17"/>
          <w:lang w:val="en-US" w:eastAsia="en-US"/>
        </w:rPr>
        <w:t xml:space="preserve">- IP-камера Wisenet LND-6020R, IP- </w:t>
      </w:r>
      <w:r>
        <w:rPr>
          <w:rStyle w:val="CharStyle17"/>
        </w:rPr>
        <w:t xml:space="preserve">камера </w:t>
      </w:r>
      <w:r>
        <w:rPr>
          <w:rStyle w:val="CharStyle17"/>
          <w:lang w:val="en-US" w:eastAsia="en-US"/>
        </w:rPr>
        <w:t>Novicam PRO SM22VP);</w:t>
      </w:r>
    </w:p>
    <w:p>
      <w:pPr>
        <w:pStyle w:val="Style16"/>
        <w:keepNext w:val="0"/>
        <w:keepLines w:val="0"/>
        <w:widowControl w:val="0"/>
        <w:numPr>
          <w:ilvl w:val="0"/>
          <w:numId w:val="3"/>
        </w:numPr>
        <w:shd w:val="clear" w:color="auto" w:fill="auto"/>
        <w:tabs>
          <w:tab w:pos="1019" w:val="left"/>
        </w:tabs>
        <w:bidi w:val="0"/>
        <w:spacing w:before="0" w:after="0" w:line="240" w:lineRule="auto"/>
        <w:ind w:left="0" w:right="0" w:firstLine="740"/>
        <w:jc w:val="both"/>
      </w:pPr>
      <w:r>
        <w:rPr>
          <w:rStyle w:val="CharStyle17"/>
        </w:rPr>
        <w:t xml:space="preserve">видеорегистратора подходит товар </w:t>
      </w:r>
      <w:r>
        <w:rPr>
          <w:rStyle w:val="CharStyle17"/>
          <w:lang w:val="en-US" w:eastAsia="en-US"/>
        </w:rPr>
        <w:t xml:space="preserve">3 </w:t>
      </w:r>
      <w:r>
        <w:rPr>
          <w:rStyle w:val="CharStyle17"/>
        </w:rPr>
        <w:t xml:space="preserve">разных производителей (российского происхождения </w:t>
      </w:r>
      <w:r>
        <w:rPr>
          <w:rStyle w:val="CharStyle17"/>
          <w:lang w:val="en-US" w:eastAsia="en-US"/>
        </w:rPr>
        <w:t xml:space="preserve">– </w:t>
      </w:r>
      <w:r>
        <w:rPr>
          <w:rStyle w:val="CharStyle17"/>
        </w:rPr>
        <w:t xml:space="preserve">видеорегистратор ООО НПП «ТРАССИР» </w:t>
      </w:r>
      <w:r>
        <w:rPr>
          <w:rStyle w:val="CharStyle17"/>
          <w:lang w:val="en-US" w:eastAsia="en-US"/>
        </w:rPr>
        <w:t xml:space="preserve">TRASSIR MiniNVR 3232R AF; </w:t>
      </w:r>
      <w:r>
        <w:rPr>
          <w:rStyle w:val="CharStyle17"/>
        </w:rPr>
        <w:t xml:space="preserve">иностранного происхождения </w:t>
      </w:r>
      <w:r>
        <w:rPr>
          <w:rStyle w:val="CharStyle17"/>
          <w:lang w:val="en-US" w:eastAsia="en-US"/>
        </w:rPr>
        <w:t xml:space="preserve">- </w:t>
      </w:r>
      <w:r>
        <w:rPr>
          <w:rStyle w:val="CharStyle17"/>
        </w:rPr>
        <w:t xml:space="preserve">видеорегистратор </w:t>
      </w:r>
      <w:r>
        <w:rPr>
          <w:rStyle w:val="CharStyle17"/>
          <w:lang w:val="en-US" w:eastAsia="en-US"/>
        </w:rPr>
        <w:t xml:space="preserve">Uniview NVR302-32S, </w:t>
      </w:r>
      <w:r>
        <w:rPr>
          <w:rStyle w:val="CharStyle17"/>
        </w:rPr>
        <w:t xml:space="preserve">видеорегистратор </w:t>
      </w:r>
      <w:r>
        <w:rPr>
          <w:rStyle w:val="CharStyle17"/>
          <w:lang w:val="en-US" w:eastAsia="en-US"/>
        </w:rPr>
        <w:t>Novicam NR2832);</w:t>
      </w:r>
    </w:p>
    <w:p>
      <w:pPr>
        <w:pStyle w:val="Style16"/>
        <w:keepNext w:val="0"/>
        <w:keepLines w:val="0"/>
        <w:widowControl w:val="0"/>
        <w:numPr>
          <w:ilvl w:val="0"/>
          <w:numId w:val="3"/>
        </w:numPr>
        <w:shd w:val="clear" w:color="auto" w:fill="auto"/>
        <w:tabs>
          <w:tab w:pos="1019" w:val="left"/>
        </w:tabs>
        <w:bidi w:val="0"/>
        <w:spacing w:before="0" w:after="0" w:line="240" w:lineRule="auto"/>
        <w:ind w:left="0" w:right="0" w:firstLine="740"/>
        <w:jc w:val="both"/>
        <w:sectPr>
          <w:footnotePr>
            <w:pos w:val="pageBottom"/>
            <w:numFmt w:val="decimal"/>
            <w:numRestart w:val="continuous"/>
          </w:footnotePr>
          <w:pgSz w:w="11900" w:h="16840"/>
          <w:pgMar w:top="1666" w:right="536" w:bottom="1575" w:left="1101" w:header="0" w:footer="3" w:gutter="0"/>
          <w:cols w:space="720"/>
          <w:noEndnote/>
          <w:rtlGutter w:val="0"/>
          <w:docGrid w:linePitch="360"/>
        </w:sectPr>
      </w:pPr>
      <w:r>
        <w:rPr>
          <w:rStyle w:val="CharStyle17"/>
        </w:rPr>
        <w:t xml:space="preserve">коммутаторов </w:t>
      </w:r>
      <w:r>
        <w:rPr>
          <w:rStyle w:val="CharStyle17"/>
          <w:lang w:val="en-US" w:eastAsia="en-US"/>
        </w:rPr>
        <w:t xml:space="preserve">(16 </w:t>
      </w:r>
      <w:r>
        <w:rPr>
          <w:rStyle w:val="CharStyle17"/>
        </w:rPr>
        <w:t xml:space="preserve">портов) подходит товар </w:t>
      </w:r>
      <w:r>
        <w:rPr>
          <w:rStyle w:val="CharStyle17"/>
          <w:lang w:val="en-US" w:eastAsia="en-US"/>
        </w:rPr>
        <w:t xml:space="preserve">3 </w:t>
      </w:r>
      <w:r>
        <w:rPr>
          <w:rStyle w:val="CharStyle17"/>
        </w:rPr>
        <w:t xml:space="preserve">разных производителей (российского происхождения </w:t>
      </w:r>
      <w:r>
        <w:rPr>
          <w:rStyle w:val="CharStyle17"/>
          <w:lang w:val="en-US" w:eastAsia="en-US"/>
        </w:rPr>
        <w:t xml:space="preserve">– </w:t>
      </w:r>
      <w:r>
        <w:rPr>
          <w:rStyle w:val="CharStyle17"/>
        </w:rPr>
        <w:t xml:space="preserve">коммутатор ООО НПП «ТРАССИР» </w:t>
      </w:r>
      <w:r>
        <w:rPr>
          <w:rStyle w:val="CharStyle17"/>
          <w:lang w:val="en-US" w:eastAsia="en-US"/>
        </w:rPr>
        <w:t xml:space="preserve">TRASSIR TR- NS1118-240-16POE; </w:t>
      </w:r>
      <w:r>
        <w:rPr>
          <w:rStyle w:val="CharStyle17"/>
        </w:rPr>
        <w:t xml:space="preserve">иностранного происхождения </w:t>
      </w:r>
      <w:r>
        <w:rPr>
          <w:rStyle w:val="CharStyle17"/>
          <w:lang w:val="en-US" w:eastAsia="en-US"/>
        </w:rPr>
        <w:t xml:space="preserve">– </w:t>
      </w:r>
      <w:r>
        <w:rPr>
          <w:rStyle w:val="CharStyle17"/>
        </w:rPr>
        <w:t xml:space="preserve">коммутатор </w:t>
      </w:r>
      <w:r>
        <w:rPr>
          <w:rStyle w:val="CharStyle17"/>
          <w:lang w:val="en-US" w:eastAsia="en-US"/>
        </w:rPr>
        <w:t>Hilkvision DC-</w:t>
      </w:r>
    </w:p>
    <w:p>
      <w:pPr>
        <w:pStyle w:val="Style16"/>
        <w:keepNext w:val="0"/>
        <w:keepLines w:val="0"/>
        <w:widowControl w:val="0"/>
        <w:shd w:val="clear" w:color="auto" w:fill="auto"/>
        <w:bidi w:val="0"/>
        <w:spacing w:before="0" w:after="0" w:line="240" w:lineRule="auto"/>
        <w:ind w:left="0" w:right="0" w:firstLine="0"/>
        <w:jc w:val="both"/>
      </w:pPr>
      <w:r>
        <w:rPr>
          <w:rStyle w:val="CharStyle17"/>
          <w:lang w:val="en-US" w:eastAsia="en-US"/>
        </w:rPr>
        <w:t xml:space="preserve">3E1318P-EI, </w:t>
      </w:r>
      <w:r>
        <w:rPr>
          <w:rStyle w:val="CharStyle17"/>
        </w:rPr>
        <w:t xml:space="preserve">коммутатор </w:t>
      </w:r>
      <w:r>
        <w:rPr>
          <w:rStyle w:val="CharStyle17"/>
          <w:lang w:val="en-US" w:eastAsia="en-US"/>
        </w:rPr>
        <w:t>Dahua DH-PFS4218-16ET-190);</w:t>
      </w:r>
    </w:p>
    <w:p>
      <w:pPr>
        <w:pStyle w:val="Style16"/>
        <w:keepNext w:val="0"/>
        <w:keepLines w:val="0"/>
        <w:widowControl w:val="0"/>
        <w:numPr>
          <w:ilvl w:val="0"/>
          <w:numId w:val="3"/>
        </w:numPr>
        <w:shd w:val="clear" w:color="auto" w:fill="auto"/>
        <w:tabs>
          <w:tab w:pos="1046" w:val="left"/>
        </w:tabs>
        <w:bidi w:val="0"/>
        <w:spacing w:before="0" w:after="0" w:line="240" w:lineRule="auto"/>
        <w:ind w:left="0" w:right="0" w:firstLine="720"/>
        <w:jc w:val="both"/>
      </w:pPr>
      <w:r>
        <w:rPr>
          <w:rStyle w:val="CharStyle17"/>
        </w:rPr>
        <w:t xml:space="preserve">коммутаторов </w:t>
      </w:r>
      <w:r>
        <w:rPr>
          <w:rStyle w:val="CharStyle17"/>
          <w:lang w:val="en-US" w:eastAsia="en-US"/>
        </w:rPr>
        <w:t xml:space="preserve">(24 </w:t>
      </w:r>
      <w:r>
        <w:rPr>
          <w:rStyle w:val="CharStyle17"/>
        </w:rPr>
        <w:t xml:space="preserve">порта) подходит товар </w:t>
      </w:r>
      <w:r>
        <w:rPr>
          <w:rStyle w:val="CharStyle17"/>
          <w:lang w:val="en-US" w:eastAsia="en-US"/>
        </w:rPr>
        <w:t xml:space="preserve">3 </w:t>
      </w:r>
      <w:r>
        <w:rPr>
          <w:rStyle w:val="CharStyle17"/>
        </w:rPr>
        <w:t xml:space="preserve">разных производителей (российского происхождения </w:t>
      </w:r>
      <w:r>
        <w:rPr>
          <w:rStyle w:val="CharStyle17"/>
          <w:lang w:val="en-US" w:eastAsia="en-US"/>
        </w:rPr>
        <w:t xml:space="preserve">– </w:t>
      </w:r>
      <w:r>
        <w:rPr>
          <w:rStyle w:val="CharStyle17"/>
        </w:rPr>
        <w:t xml:space="preserve">коммутатор ООО НПП «ТРАССИР» </w:t>
      </w:r>
      <w:r>
        <w:rPr>
          <w:rStyle w:val="CharStyle17"/>
          <w:lang w:val="en-US" w:eastAsia="en-US"/>
        </w:rPr>
        <w:t xml:space="preserve">TRASSIR TR- NS24284C-400-24POE v2; </w:t>
      </w:r>
      <w:r>
        <w:rPr>
          <w:rStyle w:val="CharStyle17"/>
        </w:rPr>
        <w:t xml:space="preserve">иностранного происхождения </w:t>
      </w:r>
      <w:r>
        <w:rPr>
          <w:rStyle w:val="CharStyle17"/>
          <w:lang w:val="en-US" w:eastAsia="en-US"/>
        </w:rPr>
        <w:t xml:space="preserve">– </w:t>
      </w:r>
      <w:r>
        <w:rPr>
          <w:rStyle w:val="CharStyle17"/>
        </w:rPr>
        <w:t xml:space="preserve">коммутатор </w:t>
      </w:r>
      <w:r>
        <w:rPr>
          <w:rStyle w:val="CharStyle17"/>
          <w:lang w:val="en-US" w:eastAsia="en-US"/>
        </w:rPr>
        <w:t xml:space="preserve">Hilkvision DC-3E1326P-EI, </w:t>
      </w:r>
      <w:r>
        <w:rPr>
          <w:rStyle w:val="CharStyle17"/>
        </w:rPr>
        <w:t xml:space="preserve">коммутатор </w:t>
      </w:r>
      <w:r>
        <w:rPr>
          <w:rStyle w:val="CharStyle17"/>
          <w:lang w:val="en-US" w:eastAsia="en-US"/>
        </w:rPr>
        <w:t>Dahua DH-PFS4226-24ET-240).</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Вместе с тем Комиссия отмечает, что при анализе значений технических характеристик того или иного товара заказчик не должен опираться на сведения, содержащиеся на сайте Минпромторга </w:t>
      </w:r>
      <w:r>
        <w:rPr>
          <w:rStyle w:val="CharStyle17"/>
          <w:lang w:val="en-US" w:eastAsia="en-US"/>
        </w:rPr>
        <w:t xml:space="preserve">– </w:t>
      </w:r>
      <w:r>
        <w:rPr>
          <w:rStyle w:val="CharStyle17"/>
        </w:rPr>
        <w:t>«ГИСП», поскольку содержащаяся в нем информация о характеристиках оборудования может содержать неактуальные сведения.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письму Министерства промышленности и торговли Российской Федерации от </w:t>
      </w:r>
      <w:r>
        <w:rPr>
          <w:rStyle w:val="CharStyle17"/>
          <w:lang w:val="en-US" w:eastAsia="en-US"/>
        </w:rPr>
        <w:t xml:space="preserve">04.10.2023 № 106238/12 </w:t>
      </w:r>
      <w:r>
        <w:rPr>
          <w:rStyle w:val="CharStyle17"/>
        </w:rPr>
        <w:t xml:space="preserve">«О применении Постановлений Правительства РФ от </w:t>
      </w:r>
      <w:r>
        <w:rPr>
          <w:rStyle w:val="CharStyle17"/>
          <w:lang w:val="en-US" w:eastAsia="en-US"/>
        </w:rPr>
        <w:t xml:space="preserve">30.04.2020 N 616 </w:t>
      </w:r>
      <w:r>
        <w:rPr>
          <w:rStyle w:val="CharStyle17"/>
        </w:rPr>
        <w:t xml:space="preserve">и </w:t>
      </w:r>
      <w:r>
        <w:rPr>
          <w:rStyle w:val="CharStyle17"/>
          <w:lang w:val="en-US" w:eastAsia="en-US"/>
        </w:rPr>
        <w:t xml:space="preserve">N 617» </w:t>
      </w:r>
      <w:r>
        <w:rPr>
          <w:rStyle w:val="CharStyle17"/>
        </w:rPr>
        <w:t>информация из каталога ГИСП может содержать отличную информацию от той, которая была внесена в реестр, и носит ознакомительный характер.</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Данная позиция подтверждается определением ВС РФ от </w:t>
      </w:r>
      <w:r>
        <w:rPr>
          <w:rStyle w:val="CharStyle17"/>
          <w:lang w:val="en-US" w:eastAsia="en-US"/>
        </w:rPr>
        <w:t xml:space="preserve">27.01.2025 </w:t>
      </w:r>
      <w:r>
        <w:rPr>
          <w:rStyle w:val="CharStyle17"/>
        </w:rPr>
        <w:t xml:space="preserve">по делу </w:t>
      </w:r>
      <w:r>
        <w:rPr>
          <w:rStyle w:val="CharStyle17"/>
          <w:lang w:val="en-US" w:eastAsia="en-US"/>
        </w:rPr>
        <w:t xml:space="preserve">№ </w:t>
      </w:r>
      <w:r>
        <w:rPr>
          <w:rStyle w:val="CharStyle17"/>
        </w:rPr>
        <w:t>А75-22693/23.</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Вместе с тем в силу положений Федерального закона от </w:t>
      </w:r>
      <w:r>
        <w:rPr>
          <w:rStyle w:val="CharStyle17"/>
          <w:lang w:val="en-US" w:eastAsia="en-US"/>
        </w:rPr>
        <w:t xml:space="preserve">05.04.2013 № </w:t>
      </w:r>
      <w:r>
        <w:rPr>
          <w:rStyle w:val="CharStyle17"/>
        </w:rPr>
        <w:t xml:space="preserve">44-ФЗ и постановления Правительства РФ от </w:t>
      </w:r>
      <w:r>
        <w:rPr>
          <w:rStyle w:val="CharStyle17"/>
          <w:lang w:val="en-US" w:eastAsia="en-US"/>
        </w:rPr>
        <w:t xml:space="preserve">23.12.2024 № 1875 </w:t>
      </w:r>
      <w:r>
        <w:rPr>
          <w:rStyle w:val="CharStyle17"/>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информация, содержащаяся в реестра российской промышленной продукции на сайте Минпромторга, используется исключительно для указания и подтверждения страны происхождения товара, соответственно, не используется для проверки, в частности характеристик товаров, содержащихся в реестре российской промышленной продукции, на соответствие описанию объекта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Комиссия отмечает, что оценивая технические параметры и иные характеристики оборудования, следует полагаться на информацию из инструкций по эксплуатации оборудования (руководства пользователя), технических паспортов конкретной партии оборудования. Информация, представленная на сайтах производителей в сети Интернет, не относится к официальным данным. На сайтах производителей товара может указываться информация рекламного характера, требующая дополнительного уточнения.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Схожий правовой подход изложен в постановлении Двенадцатого арбитражного апелляционного суда от </w:t>
      </w:r>
      <w:r>
        <w:rPr>
          <w:rStyle w:val="CharStyle17"/>
          <w:lang w:val="en-US" w:eastAsia="en-US"/>
        </w:rPr>
        <w:t xml:space="preserve">07.07.2021 N </w:t>
      </w:r>
      <w:r>
        <w:rPr>
          <w:rStyle w:val="CharStyle17"/>
        </w:rPr>
        <w:t xml:space="preserve">12АП-5095/2021 по делу </w:t>
      </w:r>
      <w:r>
        <w:rPr>
          <w:rStyle w:val="CharStyle17"/>
          <w:lang w:val="en-US" w:eastAsia="en-US"/>
        </w:rPr>
        <w:t xml:space="preserve">N </w:t>
      </w:r>
      <w:r>
        <w:rPr>
          <w:rStyle w:val="CharStyle17"/>
        </w:rPr>
        <w:t xml:space="preserve">А06- </w:t>
      </w:r>
      <w:r>
        <w:rPr>
          <w:rStyle w:val="CharStyle17"/>
          <w:lang w:val="en-US" w:eastAsia="en-US"/>
        </w:rPr>
        <w:t xml:space="preserve">12117/2020, </w:t>
      </w:r>
      <w:r>
        <w:rPr>
          <w:rStyle w:val="CharStyle17"/>
        </w:rPr>
        <w:t xml:space="preserve">определение ВС РФ </w:t>
      </w:r>
      <w:r>
        <w:rPr>
          <w:rStyle w:val="CharStyle17"/>
          <w:lang w:val="en-US" w:eastAsia="en-US"/>
        </w:rPr>
        <w:t xml:space="preserve">№ </w:t>
      </w:r>
      <w:r>
        <w:rPr>
          <w:rStyle w:val="CharStyle17"/>
        </w:rPr>
        <w:t xml:space="preserve">309-КГ18-14017 от </w:t>
      </w:r>
      <w:r>
        <w:rPr>
          <w:rStyle w:val="CharStyle17"/>
          <w:lang w:val="en-US" w:eastAsia="en-US"/>
        </w:rPr>
        <w:t xml:space="preserve">17.09.2018 </w:t>
      </w:r>
      <w:r>
        <w:rPr>
          <w:rStyle w:val="CharStyle17"/>
        </w:rPr>
        <w:t xml:space="preserve">по делу А60- </w:t>
      </w:r>
      <w:r>
        <w:rPr>
          <w:rStyle w:val="CharStyle17"/>
          <w:lang w:val="en-US" w:eastAsia="en-US"/>
        </w:rPr>
        <w:t>38386/2017.</w:t>
      </w:r>
    </w:p>
    <w:p>
      <w:pPr>
        <w:pStyle w:val="Style16"/>
        <w:keepNext w:val="0"/>
        <w:keepLines w:val="0"/>
        <w:widowControl w:val="0"/>
        <w:shd w:val="clear" w:color="auto" w:fill="auto"/>
        <w:bidi w:val="0"/>
        <w:spacing w:before="0" w:after="0" w:line="276" w:lineRule="auto"/>
        <w:ind w:left="0" w:right="0" w:firstLine="720"/>
        <w:jc w:val="both"/>
        <w:rPr>
          <w:sz w:val="24"/>
          <w:szCs w:val="24"/>
        </w:rPr>
      </w:pPr>
      <w:r>
        <w:rPr>
          <w:rStyle w:val="CharStyle17"/>
        </w:rPr>
        <w:t xml:space="preserve">Учитывая приведенные фактические обстоятельства, а также изложенную выше правовую позицию, Комиссия, при имеющихся на момент рассмотрения настоящей жалобы доказательствах, не усматривает необходимых и достаточных доказательств того, что характеристикам, установленным в описании объекта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закупки, соответствует товар </w:t>
      </w:r>
      <w:r>
        <w:rPr>
          <w:rStyle w:val="CharStyle17"/>
          <w:lang w:val="en-US" w:eastAsia="en-US"/>
        </w:rPr>
        <w:t xml:space="preserve">2 </w:t>
      </w:r>
      <w:r>
        <w:rPr>
          <w:rStyle w:val="CharStyle17"/>
        </w:rPr>
        <w:t xml:space="preserve">разных производителей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Комиссия приходит к выводу о нарушении заказчиком требований пункт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Данные действия заказчика содержат в себе признаки состава административного правонарушения, предусмотренного частью </w:t>
      </w:r>
      <w:r>
        <w:rPr>
          <w:rStyle w:val="CharStyle17"/>
          <w:lang w:val="en-US" w:eastAsia="en-US"/>
        </w:rPr>
        <w:t xml:space="preserve">5 </w:t>
      </w:r>
      <w:r>
        <w:rPr>
          <w:rStyle w:val="CharStyle17"/>
        </w:rPr>
        <w:t xml:space="preserve">статьи </w:t>
      </w:r>
      <w:r>
        <w:rPr>
          <w:rStyle w:val="CharStyle17"/>
          <w:lang w:val="en-US" w:eastAsia="en-US"/>
        </w:rPr>
        <w:t xml:space="preserve">7.30.1 </w:t>
      </w:r>
      <w:r>
        <w:rPr>
          <w:rStyle w:val="CharStyle17"/>
        </w:rPr>
        <w:t>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40"/>
        <w:jc w:val="both"/>
      </w:pPr>
      <w:r>
        <w:rPr>
          <w:rStyle w:val="CharStyle17"/>
          <w:b/>
          <w:bCs/>
        </w:rPr>
        <w:t>Рассматривая второй довод заявителя, Комиссия отмечает следующее.</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пункту </w:t>
      </w:r>
      <w:r>
        <w:rPr>
          <w:rStyle w:val="CharStyle17"/>
          <w:lang w:val="en-US" w:eastAsia="en-US"/>
        </w:rPr>
        <w:t xml:space="preserve">3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 44- </w:t>
      </w:r>
      <w:r>
        <w:rPr>
          <w:rStyle w:val="CharStyle17"/>
        </w:rPr>
        <w:t xml:space="preserve">ФЗ в соответствии с Федеральным законом от </w:t>
      </w:r>
      <w:r>
        <w:rPr>
          <w:rStyle w:val="CharStyle17"/>
          <w:lang w:val="en-US" w:eastAsia="en-US"/>
        </w:rPr>
        <w:t xml:space="preserve">05.04.2013 № </w:t>
      </w:r>
      <w:r>
        <w:rPr>
          <w:rStyle w:val="CharStyle17"/>
        </w:rPr>
        <w:t>44-ФЗ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в числе прочих,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Пунктом </w:t>
      </w:r>
      <w:r>
        <w:rPr>
          <w:rStyle w:val="CharStyle17"/>
          <w:lang w:val="en-US" w:eastAsia="en-US"/>
        </w:rPr>
        <w:t xml:space="preserve">3 </w:t>
      </w:r>
      <w:r>
        <w:rPr>
          <w:rStyle w:val="CharStyle17"/>
        </w:rPr>
        <w:t xml:space="preserve">части </w:t>
      </w:r>
      <w:r>
        <w:rPr>
          <w:rStyle w:val="CharStyle17"/>
          <w:lang w:val="en-US" w:eastAsia="en-US"/>
        </w:rPr>
        <w:t xml:space="preserve">8 </w:t>
      </w:r>
      <w:r>
        <w:rPr>
          <w:rStyle w:val="CharStyle17"/>
        </w:rPr>
        <w:t xml:space="preserve">статьи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 </w:t>
      </w:r>
      <w:r>
        <w:rPr>
          <w:rStyle w:val="CharStyle17"/>
        </w:rPr>
        <w:t xml:space="preserve">44-ФЗ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w:t>
      </w:r>
      <w:r>
        <w:rPr>
          <w:rStyle w:val="CharStyle17"/>
          <w:lang w:val="en-US" w:eastAsia="en-US"/>
        </w:rPr>
        <w:t xml:space="preserve">10 </w:t>
      </w:r>
      <w:r>
        <w:rPr>
          <w:rStyle w:val="CharStyle17"/>
        </w:rPr>
        <w:t xml:space="preserve">статьи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 44- </w:t>
      </w:r>
      <w:r>
        <w:rPr>
          <w:rStyle w:val="CharStyle17"/>
        </w:rPr>
        <w:t>ФЗ), в том числе в отношении соблюдения предусмотренных настоящим Федеральным законом требований к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Таким образом, рассмотрение указанного довода относится к компетенции органов внутреннего государственного (муниципального) финансового контроля.</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 целью соблюдения вышеуказанных требований законодательства, рассматриваемые жалобы в указанной части переданы Управлением для рассмотрения по подведомственности в Управление Федерального казначейства по Ярославской области (письмо от </w:t>
      </w:r>
      <w:r>
        <w:rPr>
          <w:rStyle w:val="CharStyle17"/>
          <w:lang w:val="en-US" w:eastAsia="en-US"/>
        </w:rPr>
        <w:t xml:space="preserve">28.08.2025 № </w:t>
      </w:r>
      <w:r>
        <w:rPr>
          <w:rStyle w:val="CharStyle17"/>
        </w:rPr>
        <w:t>АБ/10347/25).</w:t>
      </w:r>
    </w:p>
    <w:p>
      <w:pPr>
        <w:pStyle w:val="Style16"/>
        <w:keepNext w:val="0"/>
        <w:keepLines w:val="0"/>
        <w:widowControl w:val="0"/>
        <w:shd w:val="clear" w:color="auto" w:fill="auto"/>
        <w:bidi w:val="0"/>
        <w:spacing w:before="0" w:after="0" w:line="240" w:lineRule="auto"/>
        <w:ind w:left="0" w:right="0" w:firstLine="740"/>
        <w:jc w:val="both"/>
      </w:pPr>
      <w:r>
        <w:rPr>
          <w:rStyle w:val="CharStyle17"/>
          <w:b/>
          <w:bCs/>
        </w:rPr>
        <w:t>При рассмотрении третьего довода Комиссией установлено следующее.</w:t>
      </w:r>
    </w:p>
    <w:p>
      <w:pPr>
        <w:pStyle w:val="Style16"/>
        <w:keepNext w:val="0"/>
        <w:keepLines w:val="0"/>
        <w:widowControl w:val="0"/>
        <w:shd w:val="clear" w:color="auto" w:fill="auto"/>
        <w:bidi w:val="0"/>
        <w:spacing w:before="0" w:after="0" w:line="240" w:lineRule="auto"/>
        <w:ind w:left="0" w:right="0" w:firstLine="740"/>
        <w:jc w:val="both"/>
        <w:rPr>
          <w:sz w:val="24"/>
          <w:szCs w:val="24"/>
        </w:rPr>
      </w:pPr>
      <w:r>
        <w:rPr>
          <w:rStyle w:val="CharStyle17"/>
        </w:rPr>
        <w:t xml:space="preserve">Согласно пункту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44- </w:t>
      </w:r>
      <w:r>
        <w:rPr>
          <w:rStyle w:val="CharStyle17"/>
        </w:rPr>
        <w:t xml:space="preserve">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 xml:space="preserve">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части </w:t>
      </w:r>
      <w:r>
        <w:rPr>
          <w:rStyle w:val="CharStyle17"/>
          <w:lang w:val="en-US" w:eastAsia="en-US"/>
        </w:rPr>
        <w:t xml:space="preserve">5 </w:t>
      </w:r>
      <w:r>
        <w:rPr>
          <w:rStyle w:val="CharStyle17"/>
        </w:rPr>
        <w:t xml:space="preserve">статьи </w:t>
      </w:r>
      <w:r>
        <w:rPr>
          <w:rStyle w:val="CharStyle17"/>
          <w:lang w:val="en-US" w:eastAsia="en-US"/>
        </w:rPr>
        <w:t xml:space="preserve">23 </w:t>
      </w:r>
      <w:r>
        <w:rPr>
          <w:rStyle w:val="CharStyle17"/>
        </w:rPr>
        <w:t xml:space="preserve">Федерального закона от </w:t>
      </w:r>
      <w:r>
        <w:rPr>
          <w:rStyle w:val="CharStyle17"/>
          <w:lang w:val="en-US" w:eastAsia="en-US"/>
        </w:rPr>
        <w:t xml:space="preserve">05.04.2013 № </w:t>
      </w:r>
      <w:r>
        <w:rPr>
          <w:rStyle w:val="CharStyle17"/>
        </w:rPr>
        <w:t>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 xml:space="preserve">Федерального закона от </w:t>
      </w:r>
      <w:r>
        <w:rPr>
          <w:rStyle w:val="CharStyle17"/>
          <w:lang w:val="en-US" w:eastAsia="en-US"/>
        </w:rPr>
        <w:t xml:space="preserve">05.04.2013 № 44- </w:t>
      </w:r>
      <w:r>
        <w:rPr>
          <w:rStyle w:val="CharStyle17"/>
        </w:rPr>
        <w:t>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Правительства Российской Федерации от </w:t>
      </w:r>
      <w:r>
        <w:rPr>
          <w:rStyle w:val="CharStyle17"/>
          <w:lang w:val="en-US" w:eastAsia="en-US"/>
        </w:rPr>
        <w:t xml:space="preserve">08.02.2017 № 145 </w:t>
      </w:r>
      <w:r>
        <w:rPr>
          <w:rStyle w:val="CharStyle1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(далее </w:t>
      </w:r>
      <w:r>
        <w:rPr>
          <w:rStyle w:val="CharStyle17"/>
          <w:lang w:val="en-US" w:eastAsia="en-US"/>
        </w:rPr>
        <w:t xml:space="preserve">– </w:t>
      </w:r>
      <w:r>
        <w:rPr>
          <w:rStyle w:val="CharStyle17"/>
        </w:rPr>
        <w:t xml:space="preserve">Правила формирования и ведения в ЕИС КТРУ) и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 использования КТРУ).</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пунктом </w:t>
      </w:r>
      <w:r>
        <w:rPr>
          <w:rStyle w:val="CharStyle17"/>
          <w:lang w:val="en-US" w:eastAsia="en-US"/>
        </w:rPr>
        <w:t xml:space="preserve">2 </w:t>
      </w:r>
      <w:r>
        <w:rPr>
          <w:rStyle w:val="CharStyle17"/>
        </w:rPr>
        <w:t xml:space="preserve">Правил формирования и ведения в ЕИС КТРУ под каталогом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7"/>
          <w:lang w:val="en-US" w:eastAsia="en-US"/>
        </w:rPr>
        <w:t xml:space="preserve">034-2014 </w:t>
      </w:r>
      <w:r>
        <w:rPr>
          <w:rStyle w:val="CharStyle17"/>
        </w:rPr>
        <w:t>и включающий в себя информацию в соответствии с настоящими Правилами.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12 </w:t>
      </w:r>
      <w:r>
        <w:rPr>
          <w:rStyle w:val="CharStyle17"/>
        </w:rPr>
        <w:t xml:space="preserve">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7"/>
          <w:lang w:val="en-US" w:eastAsia="en-US"/>
        </w:rPr>
        <w:t>034-2014.</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подпункту «б» пункта </w:t>
      </w:r>
      <w:r>
        <w:rPr>
          <w:rStyle w:val="CharStyle17"/>
          <w:lang w:val="en-US" w:eastAsia="en-US"/>
        </w:rPr>
        <w:t xml:space="preserve">2 </w:t>
      </w:r>
      <w:r>
        <w:rPr>
          <w:rStyle w:val="CharStyle17"/>
        </w:rPr>
        <w:t>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6"/>
        <w:keepNext w:val="0"/>
        <w:keepLines w:val="0"/>
        <w:widowControl w:val="0"/>
        <w:shd w:val="clear" w:color="auto" w:fill="auto"/>
        <w:bidi w:val="0"/>
        <w:spacing w:before="0" w:after="0" w:line="266" w:lineRule="auto"/>
        <w:ind w:left="0" w:right="0" w:firstLine="720"/>
        <w:jc w:val="both"/>
        <w:rPr>
          <w:sz w:val="24"/>
          <w:szCs w:val="24"/>
        </w:rPr>
        <w:sectPr>
          <w:headerReference w:type="default" r:id="rId11"/>
          <w:footerReference w:type="default" r:id="rId12"/>
          <w:headerReference w:type="even" r:id="rId13"/>
          <w:footerReference w:type="even" r:id="rId14"/>
          <w:footnotePr>
            <w:pos w:val="pageBottom"/>
            <w:numFmt w:val="decimal"/>
            <w:numRestart w:val="continuous"/>
          </w:footnotePr>
          <w:pgSz w:w="11900" w:h="16840"/>
          <w:pgMar w:top="1663" w:right="538" w:bottom="1079" w:left="1100" w:header="0" w:footer="651" w:gutter="0"/>
          <w:cols w:space="720"/>
          <w:noEndnote/>
          <w:rtlGutter w:val="0"/>
          <w:docGrid w:linePitch="360"/>
        </w:sectPr>
      </w:pPr>
      <w:r>
        <w:rPr>
          <w:rStyle w:val="CharStyle17"/>
        </w:rPr>
        <w:t xml:space="preserve">Исходя из пункта </w:t>
      </w:r>
      <w:r>
        <w:rPr>
          <w:rStyle w:val="CharStyle17"/>
          <w:lang w:val="en-US" w:eastAsia="en-US"/>
        </w:rPr>
        <w:t xml:space="preserve">4 </w:t>
      </w:r>
      <w:r>
        <w:rPr>
          <w:rStyle w:val="CharStyle17"/>
        </w:rPr>
        <w:t xml:space="preserve">Правил использования КТРУ заказчики обязаны применять информацию, включенную в позицию каталога в соответствии с подпунктами "б"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 145 </w:t>
      </w:r>
      <w:r>
        <w:rPr>
          <w:rStyle w:val="CharStyle17"/>
        </w:rPr>
        <w:t xml:space="preserve">"Об утверждении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rStyle w:val="CharStyle17"/>
        </w:rPr>
        <w:t>наименование товара, работы, услуги;</w:t>
      </w:r>
    </w:p>
    <w:p>
      <w:pPr>
        <w:pStyle w:val="Style16"/>
        <w:keepNext w:val="0"/>
        <w:keepLines w:val="0"/>
        <w:widowControl w:val="0"/>
        <w:numPr>
          <w:ilvl w:val="0"/>
          <w:numId w:val="5"/>
        </w:numPr>
        <w:shd w:val="clear" w:color="auto" w:fill="auto"/>
        <w:tabs>
          <w:tab w:pos="1142" w:val="left"/>
        </w:tabs>
        <w:bidi w:val="0"/>
        <w:spacing w:before="0" w:after="0" w:line="240" w:lineRule="auto"/>
        <w:ind w:left="0" w:right="0" w:firstLine="72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5"/>
        </w:numPr>
        <w:shd w:val="clear" w:color="auto" w:fill="auto"/>
        <w:tabs>
          <w:tab w:pos="1107" w:val="left"/>
        </w:tabs>
        <w:bidi w:val="0"/>
        <w:spacing w:before="0" w:after="0" w:line="240" w:lineRule="auto"/>
        <w:ind w:left="0" w:right="0" w:firstLine="72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пункту </w:t>
      </w:r>
      <w:r>
        <w:rPr>
          <w:rStyle w:val="CharStyle17"/>
          <w:lang w:val="en-US" w:eastAsia="en-US"/>
        </w:rPr>
        <w:t xml:space="preserve">7 </w:t>
      </w:r>
      <w:r>
        <w:rPr>
          <w:rStyle w:val="CharStyle17"/>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Исходя из совокупности вышеизложенных положений, при формировании объекта закупки на поставку товара по позициям, предусмотренным каталогом товаров, работ, услуг, заказчик, уполномоченный орган обязаны применять информацию, включенную в позицию каталога, если формирование описания объекта закупки происходит после наступления даты начала обязательного применения позиции каталога.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При этом Комиссия отмечает, что объект закупки должен прямо соотноситься с кодом ОКПД2 и сформированной на его основе позицией КТРУ.</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Проанализировав содержание извещения, Комиссия установила, что заказчиком закупается система видеонаблюдения по коду ОКПД2 </w:t>
      </w:r>
      <w:r>
        <w:rPr>
          <w:rStyle w:val="CharStyle17"/>
          <w:lang w:val="en-US" w:eastAsia="en-US"/>
        </w:rPr>
        <w:t xml:space="preserve">26.40.33.199 </w:t>
      </w:r>
      <w:r>
        <w:rPr>
          <w:rStyle w:val="CharStyle17"/>
        </w:rPr>
        <w:t>«Аппаратура записи и воспроизведения изображения, не включенная в другие группировки».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Заказчик пояснил, что необходимость приобретения системы видеонаблюдения занесена в план-график под ОКПД2 </w:t>
      </w:r>
      <w:r>
        <w:rPr>
          <w:rStyle w:val="CharStyle17"/>
          <w:lang w:val="en-US" w:eastAsia="en-US"/>
        </w:rPr>
        <w:t xml:space="preserve">26.40.33.199 - </w:t>
      </w:r>
      <w:r>
        <w:rPr>
          <w:rStyle w:val="CharStyle17"/>
        </w:rPr>
        <w:t>Аппаратура записи и воспроизведения изображения, не включенная в другие группировки.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При этом, в описании объекта закупки заказчиком предъявляются требования не к системе видеонаблюдения в целом, а отдельно к </w:t>
      </w:r>
      <w:r>
        <w:rPr>
          <w:rStyle w:val="CharStyle17"/>
          <w:lang w:val="en-US" w:eastAsia="en-US"/>
        </w:rPr>
        <w:t xml:space="preserve">IP-видеокамерам, </w:t>
      </w:r>
      <w:r>
        <w:rPr>
          <w:rStyle w:val="CharStyle17"/>
        </w:rPr>
        <w:t xml:space="preserve">видеорегистратору, коммутаторам. Однако в Каталоге товаров, работ, услуг для обеспечения государственных и муниципальных нужд присутствуют самостоятельные позиции КТРУ соответствующие объекту закупки, например, позиция </w:t>
      </w:r>
      <w:r>
        <w:rPr>
          <w:rStyle w:val="CharStyle17"/>
          <w:lang w:val="en-US" w:eastAsia="en-US"/>
        </w:rPr>
        <w:t xml:space="preserve">26.30.11.110-00000001 </w:t>
      </w:r>
      <w:r>
        <w:rPr>
          <w:rStyle w:val="CharStyle17"/>
        </w:rPr>
        <w:t xml:space="preserve">«Коммутатор», позиция </w:t>
      </w:r>
      <w:r>
        <w:rPr>
          <w:rStyle w:val="CharStyle17"/>
          <w:lang w:val="en-US" w:eastAsia="en-US"/>
        </w:rPr>
        <w:t xml:space="preserve">26.70.13.000-00000008 </w:t>
      </w:r>
      <w:r>
        <w:rPr>
          <w:rStyle w:val="CharStyle17"/>
        </w:rPr>
        <w:t>«Камера видеонаблюдения».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Комиссия, изучив описание объекта закупки, установила, что заказчиком не использованы характеристики из позиций Каталога, относящиеся к составляющим системы видеонаблюдения.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Кроме того, исходя из технических свойств коммутатора, который является устройством-компонентом инфраструктуры системы видеонаблюдения,</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обеспечивающим исключительно передачу видеосигнала от </w:t>
      </w:r>
      <w:r>
        <w:rPr>
          <w:rStyle w:val="CharStyle17"/>
          <w:lang w:val="en-US" w:eastAsia="en-US"/>
        </w:rPr>
        <w:t xml:space="preserve">IP-камер </w:t>
      </w:r>
      <w:r>
        <w:rPr>
          <w:rStyle w:val="CharStyle17"/>
        </w:rPr>
        <w:t>к центральному серверу для его обработки и хранения (самостоятельно не осуществляет видеозапись), не следует, что такое устройство можно отнести к аппаратуре записи и воспроизведения изображения.</w:t>
      </w:r>
    </w:p>
    <w:p>
      <w:pPr>
        <w:pStyle w:val="Style16"/>
        <w:keepNext w:val="0"/>
        <w:keepLines w:val="0"/>
        <w:widowControl w:val="0"/>
        <w:shd w:val="clear" w:color="auto" w:fill="auto"/>
        <w:bidi w:val="0"/>
        <w:spacing w:before="0" w:after="0" w:line="240" w:lineRule="auto"/>
        <w:ind w:left="0" w:right="0" w:firstLine="740"/>
        <w:jc w:val="both"/>
      </w:pPr>
      <w:r>
        <w:rPr>
          <w:rStyle w:val="CharStyle17"/>
        </w:rPr>
        <w:t>Сформировав описание объекта закупки вышеуказанным образом, заказчик, по мнению Комиссии, фактически уклонился от применения позиций КТРУ.</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Вышеизложенная позиция Комиссии подтверждается тем, что в сравнительной таблице о соответствии описания объекта закупки товарам </w:t>
      </w:r>
      <w:r>
        <w:rPr>
          <w:rStyle w:val="CharStyle17"/>
          <w:lang w:val="en-US" w:eastAsia="en-US"/>
        </w:rPr>
        <w:t xml:space="preserve">3 </w:t>
      </w:r>
      <w:r>
        <w:rPr>
          <w:rStyle w:val="CharStyle17"/>
        </w:rPr>
        <w:t xml:space="preserve">разных производителей, представленной заказчиком, указаны сведения по каждому элементу системы видеонаблюдения отдельно. Сведений, что вся система видеонаблюдения в комплексе соответствует </w:t>
      </w:r>
      <w:r>
        <w:rPr>
          <w:rStyle w:val="CharStyle17"/>
          <w:lang w:val="en-US" w:eastAsia="en-US"/>
        </w:rPr>
        <w:t xml:space="preserve">3 </w:t>
      </w:r>
      <w:r>
        <w:rPr>
          <w:rStyle w:val="CharStyle17"/>
        </w:rPr>
        <w:t>производителям не представлено.</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На основании изложенного Комиссия приходит к выводу об обоснованности довода заявителя о несоответствии выбранного заказчиком кода ОКПД2 </w:t>
      </w:r>
      <w:r>
        <w:rPr>
          <w:rStyle w:val="CharStyle17"/>
          <w:lang w:val="en-US" w:eastAsia="en-US"/>
        </w:rPr>
        <w:t xml:space="preserve">- 26.40.33.199 </w:t>
      </w:r>
      <w:r>
        <w:rPr>
          <w:rStyle w:val="CharStyle17"/>
        </w:rPr>
        <w:t xml:space="preserve">«Аппаратура записи и воспроизведения изображения, не включенная в другие группировки» объекту закупки, что нарушает требования пункта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Выявленные нарушения содержат признаки административного правонарушения, ответственность за которое предусмотрена ч. </w:t>
      </w:r>
      <w:r>
        <w:rPr>
          <w:rStyle w:val="CharStyle17"/>
          <w:lang w:val="en-US" w:eastAsia="en-US"/>
        </w:rPr>
        <w:t xml:space="preserve">5 </w:t>
      </w:r>
      <w:r>
        <w:rPr>
          <w:rStyle w:val="CharStyle17"/>
        </w:rPr>
        <w:t xml:space="preserve">ст. </w:t>
      </w:r>
      <w:r>
        <w:rPr>
          <w:rStyle w:val="CharStyle17"/>
          <w:lang w:val="en-US" w:eastAsia="en-US"/>
        </w:rPr>
        <w:t xml:space="preserve">7.30.1 </w:t>
      </w:r>
      <w:r>
        <w:rPr>
          <w:rStyle w:val="CharStyle17"/>
        </w:rPr>
        <w:t>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40"/>
        <w:jc w:val="both"/>
      </w:pPr>
      <w:r>
        <w:rPr>
          <w:rStyle w:val="CharStyle17"/>
          <w:b/>
          <w:bCs/>
        </w:rPr>
        <w:t>При рассмотрении четвертого довода Комиссией установлено следующее.</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Пунктом </w:t>
      </w:r>
      <w:r>
        <w:rPr>
          <w:rStyle w:val="CharStyle17"/>
          <w:lang w:val="en-US" w:eastAsia="en-US"/>
        </w:rPr>
        <w:t xml:space="preserve">5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 xml:space="preserve">44-ФЗ извещение об осуществлении закупки, если иное не предусмотрено настоящим Федеральным законом, должно содержать следующие электронные документы </w:t>
      </w:r>
      <w:r>
        <w:rPr>
          <w:rStyle w:val="CharStyle17"/>
          <w:lang w:val="en-US" w:eastAsia="en-US"/>
        </w:rPr>
        <w:t xml:space="preserve">- </w:t>
      </w:r>
      <w:r>
        <w:rPr>
          <w:rStyle w:val="CharStyle17"/>
        </w:rPr>
        <w:t>проект контракта.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Неотъемлемой частью извещения </w:t>
      </w:r>
      <w:r>
        <w:rPr>
          <w:rStyle w:val="CharStyle17"/>
          <w:lang w:val="en-US" w:eastAsia="en-US"/>
        </w:rPr>
        <w:t xml:space="preserve">№ 0171200001924004952, </w:t>
      </w:r>
      <w:r>
        <w:rPr>
          <w:rStyle w:val="CharStyle17"/>
        </w:rPr>
        <w:t>определен, в том числе проект контракта. Обратившись к содержанию последнего Комиссией установлено следующее.</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Пункт </w:t>
      </w:r>
      <w:r>
        <w:rPr>
          <w:rStyle w:val="CharStyle17"/>
          <w:lang w:val="en-US" w:eastAsia="en-US"/>
        </w:rPr>
        <w:t xml:space="preserve">4.1.1 </w:t>
      </w:r>
      <w:r>
        <w:rPr>
          <w:rStyle w:val="CharStyle17"/>
        </w:rPr>
        <w:t xml:space="preserve">проекта контракта устанавливает обязанность поставщика осуществить поставку и установку Товара в порядке, количестве, в срок и на условиях, предусмотренных Контрактом, Спецификацией (приложение </w:t>
      </w:r>
      <w:r>
        <w:rPr>
          <w:rStyle w:val="CharStyle17"/>
          <w:lang w:val="en-US" w:eastAsia="en-US"/>
        </w:rPr>
        <w:t xml:space="preserve">№ 1 </w:t>
      </w:r>
      <w:r>
        <w:rPr>
          <w:rStyle w:val="CharStyle17"/>
        </w:rPr>
        <w:t xml:space="preserve">к Контракту) и Техническим заданием (приложение </w:t>
      </w:r>
      <w:r>
        <w:rPr>
          <w:rStyle w:val="CharStyle17"/>
          <w:lang w:val="en-US" w:eastAsia="en-US"/>
        </w:rPr>
        <w:t xml:space="preserve">№2 </w:t>
      </w:r>
      <w:r>
        <w:rPr>
          <w:rStyle w:val="CharStyle17"/>
        </w:rPr>
        <w:t>к Контракту).</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 приложении </w:t>
      </w:r>
      <w:r>
        <w:rPr>
          <w:rStyle w:val="CharStyle17"/>
          <w:lang w:val="en-US" w:eastAsia="en-US"/>
        </w:rPr>
        <w:t xml:space="preserve">№ 2 </w:t>
      </w:r>
      <w:r>
        <w:rPr>
          <w:rStyle w:val="CharStyle17"/>
        </w:rPr>
        <w:t>к проекту контракта (Техническое Задание) указано:</w:t>
      </w:r>
    </w:p>
    <w:p>
      <w:pPr>
        <w:pStyle w:val="Style16"/>
        <w:keepNext w:val="0"/>
        <w:keepLines w:val="0"/>
        <w:widowControl w:val="0"/>
        <w:shd w:val="clear" w:color="auto" w:fill="auto"/>
        <w:bidi w:val="0"/>
        <w:spacing w:before="0" w:after="0" w:line="240" w:lineRule="auto"/>
        <w:ind w:left="0" w:right="0" w:firstLine="740"/>
        <w:jc w:val="both"/>
      </w:pPr>
      <w:r>
        <w:rPr>
          <w:rStyle w:val="CharStyle17"/>
        </w:rPr>
        <w:t>Предмет государственного контракта: Поставка и монтаж системы видеонаблюдения взамен вышедшей из строя в здании Управления Росреестра по Ярославской области.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Монтажные работы включают:</w:t>
      </w:r>
    </w:p>
    <w:p>
      <w:pPr>
        <w:pStyle w:val="Style16"/>
        <w:keepNext w:val="0"/>
        <w:keepLines w:val="0"/>
        <w:widowControl w:val="0"/>
        <w:numPr>
          <w:ilvl w:val="0"/>
          <w:numId w:val="7"/>
        </w:numPr>
        <w:shd w:val="clear" w:color="auto" w:fill="auto"/>
        <w:tabs>
          <w:tab w:pos="1022" w:val="left"/>
        </w:tabs>
        <w:bidi w:val="0"/>
        <w:spacing w:before="0" w:after="0" w:line="240" w:lineRule="auto"/>
        <w:ind w:left="0" w:right="0" w:firstLine="740"/>
        <w:jc w:val="both"/>
      </w:pPr>
      <w:r>
        <w:rPr>
          <w:rStyle w:val="CharStyle17"/>
        </w:rPr>
        <w:t>монтаж осуществляется в соответствии с утвержденным план-схемой расположения монтируемого оборудования;</w:t>
      </w:r>
    </w:p>
    <w:p>
      <w:pPr>
        <w:pStyle w:val="Style16"/>
        <w:keepNext w:val="0"/>
        <w:keepLines w:val="0"/>
        <w:widowControl w:val="0"/>
        <w:numPr>
          <w:ilvl w:val="0"/>
          <w:numId w:val="7"/>
        </w:numPr>
        <w:shd w:val="clear" w:color="auto" w:fill="auto"/>
        <w:tabs>
          <w:tab w:pos="1022" w:val="left"/>
        </w:tabs>
        <w:bidi w:val="0"/>
        <w:spacing w:before="0" w:after="0" w:line="240" w:lineRule="auto"/>
        <w:ind w:left="0" w:right="0" w:firstLine="740"/>
        <w:jc w:val="both"/>
      </w:pPr>
      <w:r>
        <w:rPr>
          <w:rStyle w:val="CharStyle17"/>
        </w:rPr>
        <w:t xml:space="preserve">монтаж и юстировку уличных и внутренних </w:t>
      </w:r>
      <w:r>
        <w:rPr>
          <w:rStyle w:val="CharStyle17"/>
          <w:lang w:val="en-US" w:eastAsia="en-US"/>
        </w:rPr>
        <w:t xml:space="preserve">IP-видеокамер </w:t>
      </w:r>
      <w:r>
        <w:rPr>
          <w:rStyle w:val="CharStyle17"/>
        </w:rPr>
        <w:t>высокого разрешения цветного видеоизображения с инфракрасной подсветкой согласно требованиям Заказчика;</w:t>
      </w:r>
    </w:p>
    <w:p>
      <w:pPr>
        <w:pStyle w:val="Style16"/>
        <w:keepNext w:val="0"/>
        <w:keepLines w:val="0"/>
        <w:widowControl w:val="0"/>
        <w:numPr>
          <w:ilvl w:val="0"/>
          <w:numId w:val="7"/>
        </w:numPr>
        <w:shd w:val="clear" w:color="auto" w:fill="auto"/>
        <w:tabs>
          <w:tab w:pos="1762" w:val="left"/>
        </w:tabs>
        <w:bidi w:val="0"/>
        <w:spacing w:before="0" w:after="0" w:line="240" w:lineRule="auto"/>
        <w:ind w:left="0" w:right="0" w:firstLine="740"/>
        <w:jc w:val="both"/>
      </w:pPr>
      <w:r>
        <w:rPr>
          <w:rStyle w:val="CharStyle17"/>
        </w:rPr>
        <w:t xml:space="preserve">прокладку кабельных линий для системы видеонаблюдения, от </w:t>
      </w:r>
      <w:r>
        <w:rPr>
          <w:rStyle w:val="CharStyle17"/>
          <w:lang w:val="en-US" w:eastAsia="en-US"/>
        </w:rPr>
        <w:t>IP-</w:t>
      </w:r>
    </w:p>
    <w:p>
      <w:pPr>
        <w:pStyle w:val="Style16"/>
        <w:keepNext w:val="0"/>
        <w:keepLines w:val="0"/>
        <w:widowControl w:val="0"/>
        <w:shd w:val="clear" w:color="auto" w:fill="auto"/>
        <w:bidi w:val="0"/>
        <w:spacing w:before="0" w:after="0" w:line="240" w:lineRule="auto"/>
        <w:ind w:left="0" w:right="0" w:firstLine="0"/>
        <w:jc w:val="both"/>
      </w:pPr>
      <w:r>
        <w:rPr>
          <w:rStyle w:val="CharStyle17"/>
        </w:rPr>
        <w:t>видеокамер до поста охраны.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Исходя из анализа пояснений заказчика и представленных им документов, Комиссия установила, что поставка и монтаж системы видеонаблюдения, закупаемые Заказчиком, представляют собой единую систему, рассматриваются как комплексный объект, который не может быть разделен на отдельные, не связанные друг с другом части. Все компоненты системы (камеры, регистраторы, кабель) и услуги по монтажу взаимосвязаны, используются вместе для достижения единого результата, имеют взаимную обусловленность для выполнения единой функции по видеонаблюдению.</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Кроме того, критерием технологического и функционального единства поставки и монтажа выступает то, что выполнение одной поставки оборудования невозможно и экономически нецелесообразно без одновременного или последовательного выполнения монтажа, так как использовать товар без его монтажа невозможно.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Это обусловлено рядом объективных факторов технического характера, исключающих возможность самостоятельного осуществления потребителем правильного монтажа системы.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Оборудование требует соблюдения специальных технических условий, предусмотренных производителем, таких как выбор оптимального места размещения камер наблюдения, установка корректной высоты расположения устройств относительно наблюдаемого объекта, настройка требуемого угла обзора и другие параметры.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Выполнение монтажа, подключения и настройки аппаратуры должно проводиться специалистами, обладающими необходимым уровнем знаний и опыта, позволяющим обеспечить устойчивое функционирование комплекса в целом. В противном случае велика вероятность возникновения ошибок, сбоев и неполадок, приводящих к некорректному функционированию устройства либо полной утрате работоспособности всей системы. Правильно выполненный монтаж позволяет обеспечить максимальную эффективность наблюдения, безопасность хранения видеоданных и соответствие требованиям нормативных документов, в том числе по обеспечению безопасности объекта и сотрудников Управления.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4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44- </w:t>
      </w:r>
      <w:r>
        <w:rPr>
          <w:rStyle w:val="CharStyle17"/>
        </w:rPr>
        <w:t>ФЗ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Последствиями несоблюдения технологии монтажа является аннулирование гарантийных обязательств производителя на поставленный товар.</w:t>
      </w:r>
    </w:p>
    <w:p>
      <w:pPr>
        <w:pStyle w:val="Style16"/>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666" w:right="543" w:bottom="1575" w:left="1105" w:header="0" w:footer="3" w:gutter="0"/>
          <w:cols w:space="720"/>
          <w:noEndnote/>
          <w:rtlGutter w:val="0"/>
          <w:docGrid w:linePitch="360"/>
        </w:sectPr>
      </w:pPr>
      <w:r>
        <w:rPr>
          <w:rStyle w:val="CharStyle17"/>
        </w:rPr>
        <w:t>Соответственно, объединение поставки оборудования с его монтажом является необходимым условием качественного функционирования системы видеонаблюдения. Кроме того, в описании объекта закупки указан требуемый объем</w:t>
      </w:r>
    </w:p>
    <w:p>
      <w:pPr>
        <w:pStyle w:val="Style16"/>
        <w:keepNext w:val="0"/>
        <w:keepLines w:val="0"/>
        <w:widowControl w:val="0"/>
        <w:shd w:val="clear" w:color="auto" w:fill="auto"/>
        <w:bidi w:val="0"/>
        <w:spacing w:before="0" w:after="0" w:line="240" w:lineRule="auto"/>
        <w:ind w:left="0" w:right="0" w:firstLine="0"/>
        <w:jc w:val="both"/>
      </w:pPr>
      <w:r>
        <w:rPr>
          <w:rStyle w:val="CharStyle17"/>
        </w:rPr>
        <w:t>по монтажу системы видеонаблюдения, где определены в том числе: общие требования, требования к системе видеонаблюдения, требования к кабельным линиям с указанием объема и способа монтажа, требования к документации, приемосдаточные испытания, условия выполнения заказа, инженерное обеспечение объектов, гарантийные обязательства.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Доказательств ограничения конкуренции по данной закупке вышеуказанными действиями заказчика заявителем жалобы не представлено.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Таким образом, данный довод заявителя не находит своего подтверждения.</w:t>
      </w:r>
    </w:p>
    <w:p>
      <w:pPr>
        <w:pStyle w:val="Style16"/>
        <w:keepNext w:val="0"/>
        <w:keepLines w:val="0"/>
        <w:widowControl w:val="0"/>
        <w:shd w:val="clear" w:color="auto" w:fill="auto"/>
        <w:bidi w:val="0"/>
        <w:spacing w:before="0" w:after="0" w:line="240" w:lineRule="auto"/>
        <w:ind w:left="0" w:right="0" w:firstLine="720"/>
        <w:jc w:val="both"/>
      </w:pPr>
      <w:r>
        <w:rPr>
          <w:rStyle w:val="CharStyle17"/>
          <w:b/>
          <w:bCs/>
        </w:rPr>
        <w:t>В отношении пятого довода заявителя Комиссия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5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44- </w:t>
      </w:r>
      <w:r>
        <w:rPr>
          <w:rStyle w:val="CharStyle17"/>
        </w:rPr>
        <w:t>ФЗ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Таким образом на заказчике лежит обязанность не позднее двух дней со дня, следующего за днем поступления запроса о даче разъяснения, разместить в ЕИС разъяснение положений извещения с указанием предмета запроса, а в случае внесения изменений в извещение об осуществлении закупки, разместить его с учетом изменений и продлить срок подачи заявок на не менее, чем на семь дней с даты размещения в ЕИС.</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Исходя из сведений, размещенных в ЕИС, в адрес заказчика поступили запросы о даче разъяснений от </w:t>
      </w:r>
      <w:r>
        <w:rPr>
          <w:rStyle w:val="CharStyle17"/>
          <w:lang w:val="en-US" w:eastAsia="en-US"/>
        </w:rPr>
        <w:t xml:space="preserve">20.08.2025 </w:t>
      </w:r>
      <w:r>
        <w:rPr>
          <w:rStyle w:val="CharStyle17"/>
        </w:rPr>
        <w:t xml:space="preserve">в </w:t>
      </w:r>
      <w:r>
        <w:rPr>
          <w:rStyle w:val="CharStyle17"/>
          <w:lang w:val="en-US" w:eastAsia="en-US"/>
        </w:rPr>
        <w:t xml:space="preserve">15:33 </w:t>
      </w:r>
      <w:r>
        <w:rPr>
          <w:rStyle w:val="CharStyle17"/>
        </w:rPr>
        <w:t xml:space="preserve">(МСК), от </w:t>
      </w:r>
      <w:r>
        <w:rPr>
          <w:rStyle w:val="CharStyle17"/>
          <w:lang w:val="en-US" w:eastAsia="en-US"/>
        </w:rPr>
        <w:t xml:space="preserve">20.08.2025 </w:t>
      </w:r>
      <w:r>
        <w:rPr>
          <w:rStyle w:val="CharStyle17"/>
        </w:rPr>
        <w:t xml:space="preserve">в </w:t>
      </w:r>
      <w:r>
        <w:rPr>
          <w:rStyle w:val="CharStyle17"/>
          <w:lang w:val="en-US" w:eastAsia="en-US"/>
        </w:rPr>
        <w:t xml:space="preserve">16:35 </w:t>
      </w:r>
      <w:r>
        <w:rPr>
          <w:rStyle w:val="CharStyle17"/>
        </w:rPr>
        <w:t xml:space="preserve">(МСК), от </w:t>
      </w:r>
      <w:r>
        <w:rPr>
          <w:rStyle w:val="CharStyle17"/>
          <w:lang w:val="en-US" w:eastAsia="en-US"/>
        </w:rPr>
        <w:t xml:space="preserve">21.08.2025 </w:t>
      </w:r>
      <w:r>
        <w:rPr>
          <w:rStyle w:val="CharStyle17"/>
        </w:rPr>
        <w:t xml:space="preserve">в </w:t>
      </w:r>
      <w:r>
        <w:rPr>
          <w:rStyle w:val="CharStyle17"/>
          <w:lang w:val="en-US" w:eastAsia="en-US"/>
        </w:rPr>
        <w:t xml:space="preserve">11:04 </w:t>
      </w:r>
      <w:r>
        <w:rPr>
          <w:rStyle w:val="CharStyle17"/>
        </w:rPr>
        <w:t xml:space="preserve">(МСК), от </w:t>
      </w:r>
      <w:r>
        <w:rPr>
          <w:rStyle w:val="CharStyle17"/>
          <w:lang w:val="en-US" w:eastAsia="en-US"/>
        </w:rPr>
        <w:t xml:space="preserve">22.08.2025 </w:t>
      </w:r>
      <w:r>
        <w:rPr>
          <w:rStyle w:val="CharStyle17"/>
        </w:rPr>
        <w:t xml:space="preserve">в </w:t>
      </w:r>
      <w:r>
        <w:rPr>
          <w:rStyle w:val="CharStyle17"/>
          <w:lang w:val="en-US" w:eastAsia="en-US"/>
        </w:rPr>
        <w:t xml:space="preserve">17:42 </w:t>
      </w:r>
      <w:r>
        <w:rPr>
          <w:rStyle w:val="CharStyle17"/>
        </w:rPr>
        <w:t>(МСК).</w:t>
      </w:r>
    </w:p>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 xml:space="preserve">22.08.2025 16:09 </w:t>
      </w:r>
      <w:r>
        <w:rPr>
          <w:rStyle w:val="CharStyle17"/>
        </w:rPr>
        <w:t xml:space="preserve">(МСК), </w:t>
      </w:r>
      <w:r>
        <w:rPr>
          <w:rStyle w:val="CharStyle17"/>
          <w:lang w:val="en-US" w:eastAsia="en-US"/>
        </w:rPr>
        <w:t xml:space="preserve">22.08.2025 16:12 </w:t>
      </w:r>
      <w:r>
        <w:rPr>
          <w:rStyle w:val="CharStyle17"/>
        </w:rPr>
        <w:t xml:space="preserve">(МСК), </w:t>
      </w:r>
      <w:r>
        <w:rPr>
          <w:rStyle w:val="CharStyle17"/>
          <w:lang w:val="en-US" w:eastAsia="en-US"/>
        </w:rPr>
        <w:t xml:space="preserve">22.08.2025 16:13 </w:t>
      </w:r>
      <w:r>
        <w:rPr>
          <w:rStyle w:val="CharStyle17"/>
        </w:rPr>
        <w:t xml:space="preserve">(МСК), </w:t>
      </w:r>
      <w:r>
        <w:rPr>
          <w:rStyle w:val="CharStyle17"/>
          <w:lang w:val="en-US" w:eastAsia="en-US"/>
        </w:rPr>
        <w:t xml:space="preserve">25.08.2025 08:34 </w:t>
      </w:r>
      <w:r>
        <w:rPr>
          <w:rStyle w:val="CharStyle17"/>
        </w:rPr>
        <w:t>(МСК) заказчиком были опубликованы ответы на вышеуказанные запросы разъяснений.</w:t>
      </w:r>
    </w:p>
    <w:p>
      <w:pPr>
        <w:pStyle w:val="Style16"/>
        <w:keepNext w:val="0"/>
        <w:keepLines w:val="0"/>
        <w:widowControl w:val="0"/>
        <w:shd w:val="clear" w:color="auto" w:fill="auto"/>
        <w:bidi w:val="0"/>
        <w:spacing w:before="0" w:after="0" w:line="271" w:lineRule="auto"/>
        <w:ind w:left="0" w:right="0" w:firstLine="72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666" w:right="546" w:bottom="1080" w:left="1106" w:header="0" w:footer="3" w:gutter="0"/>
          <w:cols w:space="720"/>
          <w:noEndnote/>
          <w:rtlGutter w:val="0"/>
          <w:docGrid w:linePitch="360"/>
        </w:sectPr>
      </w:pPr>
      <w:r>
        <w:rPr>
          <w:rStyle w:val="CharStyle17"/>
        </w:rPr>
        <w:t xml:space="preserve">Заказчик пояснил, что интерфейсом электронной торговой площадки Сбербанк-АСТ предусмотрена функция использования шаблона разъяснений извещения (приложение разъяснения положений). Данный шаблон представляет собой определенную форму, в которой указаны реквизиты запроса и раздел ответа, при условии, что объем ответа может превышать допущенное количество символов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в данном шаблоне, интерфейс в ЕИС позволяет прикрепить несколько документов к разъяснениям.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Разъяснения по запросам были размещены с соблюдением установленных законодательством сроков с приложением нескольких файлов. Законодательством о контрактной системе не предусмотрено обязанности заказчика размещать запрос о даче разъяснений в полном объеме.</w:t>
      </w:r>
    </w:p>
    <w:p>
      <w:pPr>
        <w:pStyle w:val="Style16"/>
        <w:keepNext w:val="0"/>
        <w:keepLines w:val="0"/>
        <w:widowControl w:val="0"/>
        <w:shd w:val="clear" w:color="auto" w:fill="auto"/>
        <w:bidi w:val="0"/>
        <w:spacing w:before="0" w:after="0" w:line="240" w:lineRule="auto"/>
        <w:ind w:left="0" w:right="0" w:firstLine="740"/>
        <w:jc w:val="both"/>
      </w:pPr>
      <w:r>
        <w:rPr>
          <w:rStyle w:val="CharStyle17"/>
        </w:rPr>
        <w:t>Данный довод заявителя не находит своего подтверждения.</w:t>
      </w:r>
    </w:p>
    <w:p>
      <w:pPr>
        <w:pStyle w:val="Style16"/>
        <w:keepNext w:val="0"/>
        <w:keepLines w:val="0"/>
        <w:widowControl w:val="0"/>
        <w:shd w:val="clear" w:color="auto" w:fill="auto"/>
        <w:bidi w:val="0"/>
        <w:spacing w:before="0" w:after="0" w:line="240" w:lineRule="auto"/>
        <w:ind w:left="0" w:right="0" w:firstLine="740"/>
        <w:jc w:val="both"/>
      </w:pPr>
      <w:r>
        <w:rPr>
          <w:rStyle w:val="CharStyle17"/>
          <w:b/>
          <w:bCs/>
        </w:rPr>
        <w:t>При проведении внеплановой проверки в действиях заказчика выявлено следующее нарушение.</w:t>
      </w:r>
    </w:p>
    <w:p>
      <w:pPr>
        <w:pStyle w:val="Style16"/>
        <w:keepNext w:val="0"/>
        <w:keepLines w:val="0"/>
        <w:widowControl w:val="0"/>
        <w:numPr>
          <w:ilvl w:val="0"/>
          <w:numId w:val="9"/>
        </w:numPr>
        <w:shd w:val="clear" w:color="auto" w:fill="auto"/>
        <w:tabs>
          <w:tab w:pos="1162" w:val="left"/>
        </w:tabs>
        <w:bidi w:val="0"/>
        <w:spacing w:before="0" w:after="0" w:line="240" w:lineRule="auto"/>
        <w:ind w:left="0" w:right="0" w:firstLine="740"/>
        <w:jc w:val="both"/>
      </w:pPr>
      <w:r>
        <w:rPr>
          <w:rStyle w:val="CharStyle17"/>
        </w:rPr>
        <w:t xml:space="preserve">Согласно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 xml:space="preserve">44-ФЗ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6"/>
        <w:keepNext w:val="0"/>
        <w:keepLines w:val="0"/>
        <w:widowControl w:val="0"/>
        <w:shd w:val="clear" w:color="auto" w:fill="auto"/>
        <w:bidi w:val="0"/>
        <w:spacing w:before="0" w:after="0" w:line="240" w:lineRule="auto"/>
        <w:ind w:left="0" w:right="0" w:firstLine="740"/>
        <w:jc w:val="both"/>
      </w:pPr>
      <w:r>
        <w:rPr>
          <w:rStyle w:val="CharStyle17"/>
        </w:rPr>
        <w:t>С учетом позиции, изложенной по первому доводу решения, Комиссия приходит к выводу, что необходимых и достаточных доказательств того, что в описании объекта закупки товара указаны характеристики товара российского происхождения заказчиком не представлено.</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Таким образом, заказчиком нарушено требование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Данные действия заказчика содержат в себе признаки состава административного правонарушения, предусмотренного частью </w:t>
      </w:r>
      <w:r>
        <w:rPr>
          <w:rStyle w:val="CharStyle17"/>
          <w:lang w:val="en-US" w:eastAsia="en-US"/>
        </w:rPr>
        <w:t xml:space="preserve">5 </w:t>
      </w:r>
      <w:r>
        <w:rPr>
          <w:rStyle w:val="CharStyle17"/>
        </w:rPr>
        <w:t xml:space="preserve">статьи </w:t>
      </w:r>
      <w:r>
        <w:rPr>
          <w:rStyle w:val="CharStyle17"/>
          <w:lang w:val="en-US" w:eastAsia="en-US"/>
        </w:rPr>
        <w:t xml:space="preserve">7.30.1 </w:t>
      </w:r>
      <w:r>
        <w:rPr>
          <w:rStyle w:val="CharStyle17"/>
        </w:rPr>
        <w:t>Кодекса Российской Федерации об административных правонарушениях.</w:t>
      </w:r>
    </w:p>
    <w:p>
      <w:pPr>
        <w:pStyle w:val="Style16"/>
        <w:keepNext w:val="0"/>
        <w:keepLines w:val="0"/>
        <w:widowControl w:val="0"/>
        <w:numPr>
          <w:ilvl w:val="0"/>
          <w:numId w:val="9"/>
        </w:numPr>
        <w:shd w:val="clear" w:color="auto" w:fill="auto"/>
        <w:tabs>
          <w:tab w:pos="1162" w:val="left"/>
        </w:tabs>
        <w:bidi w:val="0"/>
        <w:spacing w:before="0" w:after="0" w:line="240" w:lineRule="auto"/>
        <w:ind w:left="0" w:right="0" w:firstLine="740"/>
        <w:jc w:val="both"/>
      </w:pPr>
      <w:r>
        <w:rPr>
          <w:rStyle w:val="CharStyle17"/>
        </w:rPr>
        <w:t xml:space="preserve">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Федерального закона от </w:t>
      </w:r>
      <w:r>
        <w:rPr>
          <w:rStyle w:val="CharStyle17"/>
          <w:lang w:val="en-US" w:eastAsia="en-US"/>
        </w:rPr>
        <w:t xml:space="preserve">05.04.2013 № </w:t>
      </w:r>
      <w:r>
        <w:rPr>
          <w:rStyle w:val="CharStyle17"/>
        </w:rPr>
        <w:t xml:space="preserve">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7"/>
          <w:lang w:val="en-US" w:eastAsia="en-US"/>
        </w:rPr>
        <w:t xml:space="preserve">4 </w:t>
      </w:r>
      <w:r>
        <w:rPr>
          <w:rStyle w:val="CharStyle17"/>
        </w:rPr>
        <w:t xml:space="preserve">части </w:t>
      </w:r>
      <w:r>
        <w:rPr>
          <w:rStyle w:val="CharStyle17"/>
          <w:lang w:val="en-US" w:eastAsia="en-US"/>
        </w:rPr>
        <w:t xml:space="preserve">4 </w:t>
      </w:r>
      <w:r>
        <w:rPr>
          <w:rStyle w:val="CharStyle17"/>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7"/>
          <w:lang w:val="en-US" w:eastAsia="en-US"/>
        </w:rPr>
        <w:t xml:space="preserve">1 - 8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pgSz w:w="11900" w:h="16840"/>
          <w:pgMar w:top="1666" w:right="541" w:bottom="1575" w:left="1101" w:header="0" w:footer="3" w:gutter="0"/>
          <w:cols w:space="720"/>
          <w:noEndnote/>
          <w:rtlGutter w:val="0"/>
          <w:docGrid w:linePitch="360"/>
        </w:sectPr>
      </w:pPr>
      <w:r>
        <w:rPr>
          <w:rStyle w:val="CharStyle17"/>
        </w:rPr>
        <w:t xml:space="preserve">Согласно подпункту </w:t>
      </w:r>
      <w:r>
        <w:rPr>
          <w:rStyle w:val="CharStyle17"/>
          <w:lang w:val="en-US" w:eastAsia="en-US"/>
        </w:rPr>
        <w:t xml:space="preserve">1 </w:t>
      </w:r>
      <w:r>
        <w:rPr>
          <w:rStyle w:val="CharStyle17"/>
        </w:rPr>
        <w:t xml:space="preserve">пункта </w:t>
      </w:r>
      <w:r>
        <w:rPr>
          <w:rStyle w:val="CharStyle17"/>
          <w:lang w:val="en-US" w:eastAsia="en-US"/>
        </w:rPr>
        <w:t xml:space="preserve">1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 xml:space="preserve">Федерального закона от </w:t>
      </w:r>
      <w:r>
        <w:rPr>
          <w:rStyle w:val="CharStyle17"/>
          <w:lang w:val="en-US" w:eastAsia="en-US"/>
        </w:rPr>
        <w:t xml:space="preserve">05.04.2013 № </w:t>
      </w:r>
      <w:r>
        <w:rPr>
          <w:rStyle w:val="CharStyle17"/>
        </w:rPr>
        <w:t xml:space="preserve">44-ФЗ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части </w:t>
      </w:r>
      <w:r>
        <w:rPr>
          <w:rStyle w:val="CharStyle17"/>
          <w:lang w:val="en-US" w:eastAsia="en-US"/>
        </w:rPr>
        <w:t>6</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статьи </w:t>
      </w:r>
      <w:r>
        <w:rPr>
          <w:rStyle w:val="CharStyle17"/>
          <w:lang w:val="en-US" w:eastAsia="en-US"/>
        </w:rPr>
        <w:t xml:space="preserve">43 </w:t>
      </w:r>
      <w:r>
        <w:rPr>
          <w:rStyle w:val="CharStyle17"/>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протоколу подведения итогов определения поставщика (подрядчика, исполнителя) от </w:t>
      </w:r>
      <w:r>
        <w:rPr>
          <w:rStyle w:val="CharStyle17"/>
          <w:lang w:val="en-US" w:eastAsia="en-US"/>
        </w:rPr>
        <w:t xml:space="preserve">27.08.2025 </w:t>
      </w:r>
      <w:r>
        <w:rPr>
          <w:rStyle w:val="CharStyle17"/>
        </w:rPr>
        <w:t xml:space="preserve">№ИЭА1 на участие в закупке подано </w:t>
      </w:r>
      <w:r>
        <w:rPr>
          <w:rStyle w:val="CharStyle17"/>
          <w:lang w:val="en-US" w:eastAsia="en-US"/>
        </w:rPr>
        <w:t xml:space="preserve">2 </w:t>
      </w:r>
      <w:r>
        <w:rPr>
          <w:rStyle w:val="CharStyle17"/>
        </w:rPr>
        <w:t xml:space="preserve">заявки (из них соответствует требованиям: </w:t>
      </w:r>
      <w:r>
        <w:rPr>
          <w:rStyle w:val="CharStyle17"/>
          <w:lang w:val="en-US" w:eastAsia="en-US"/>
        </w:rPr>
        <w:t xml:space="preserve">2; </w:t>
      </w:r>
      <w:r>
        <w:rPr>
          <w:rStyle w:val="CharStyle17"/>
        </w:rPr>
        <w:t xml:space="preserve">отклонено: </w:t>
      </w:r>
      <w:r>
        <w:rPr>
          <w:rStyle w:val="CharStyle17"/>
          <w:lang w:val="en-US" w:eastAsia="en-US"/>
        </w:rPr>
        <w:t>0).</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Проанализировав заявку </w:t>
      </w:r>
      <w:r>
        <w:rPr>
          <w:rStyle w:val="CharStyle17"/>
          <w:lang w:val="en-US" w:eastAsia="en-US"/>
        </w:rPr>
        <w:t xml:space="preserve">№ 3 </w:t>
      </w:r>
      <w:r>
        <w:rPr>
          <w:rStyle w:val="CharStyle17"/>
        </w:rPr>
        <w:t>Комиссия установила, что в ней не содержится полный объем информации, требующийся по условиям извещения об осуществлении закупки, а именно: не указаны все технические характеристики предлагаемого к поставке товара и их значения, указанные в описании объекта закупки.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На основании вышеизложенного отсутствуют основания утверждать, что предлагаемый к поставке участником закупки товар полностью соответствует описанию объекта закупки, соответственно у комиссия по осуществлению закупок не имелись основания признавать такую заявку соответствующей извещению.</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Комиссия при имеющихся обстоятельствах приходит к выводу, что действия комиссии по осуществлению закупки противоречат требованиям подпункта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Выявленное нарушение содержит признаки состава административного правонарушения, ответственность за которое предусмотрена ч. </w:t>
      </w:r>
      <w:r>
        <w:rPr>
          <w:rStyle w:val="CharStyle17"/>
          <w:lang w:val="en-US" w:eastAsia="en-US"/>
        </w:rPr>
        <w:t xml:space="preserve">7 </w:t>
      </w:r>
      <w:r>
        <w:rPr>
          <w:rStyle w:val="CharStyle17"/>
        </w:rPr>
        <w:t xml:space="preserve">ст. </w:t>
      </w:r>
      <w:r>
        <w:rPr>
          <w:rStyle w:val="CharStyle17"/>
          <w:lang w:val="en-US" w:eastAsia="en-US"/>
        </w:rPr>
        <w:t xml:space="preserve">7.30.1 </w:t>
      </w:r>
      <w:r>
        <w:rPr>
          <w:rStyle w:val="CharStyle17"/>
        </w:rPr>
        <w:t>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40"/>
        <w:jc w:val="both"/>
      </w:pPr>
      <w:r>
        <w:rPr>
          <w:rStyle w:val="CharStyle17"/>
        </w:rPr>
        <w:t>Заказчик пояснил, что в связи с технической ошибкой функционала ЕИС первоначально в структурированную форму извещения о закупке (в раздел, содержащий описание объекта закупки) «перешли» не все технические характеристики объекта закупки, часть характеристик в структурированной форме отсутствовала. На основании указанного участник закупки не смог в полном объеме указать технические характеристики предлагаемого товара.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Вместе с тем Комиссия отмечает, что доказательств вышеуказанного заказчиком не представлено. Кроме того, даже при наличии доказательств, подтверждающих данное обстоятельство, у комиссии по осуществлению закупок заказчика не имелось оснований признавать заявку соответствующей требованиями извещения.</w:t>
      </w:r>
    </w:p>
    <w:p>
      <w:pPr>
        <w:pStyle w:val="Style16"/>
        <w:keepNext w:val="0"/>
        <w:keepLines w:val="0"/>
        <w:widowControl w:val="0"/>
        <w:shd w:val="clear" w:color="auto" w:fill="auto"/>
        <w:bidi w:val="0"/>
        <w:spacing w:before="0" w:after="280" w:line="240" w:lineRule="auto"/>
        <w:ind w:left="0" w:right="0" w:firstLine="740"/>
        <w:jc w:val="both"/>
      </w:pPr>
      <w:r>
        <w:rPr>
          <w:rStyle w:val="CharStyle17"/>
        </w:rPr>
        <w:t xml:space="preserve">На основании изложенного и руководствуясь 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Федерального закона от 05.04.2013г. </w:t>
      </w:r>
      <w:r>
        <w:rPr>
          <w:rStyle w:val="CharStyle17"/>
          <w:lang w:val="en-US" w:eastAsia="en-US"/>
        </w:rPr>
        <w:t xml:space="preserve">№ </w:t>
      </w:r>
      <w:r>
        <w:rPr>
          <w:rStyle w:val="CharStyle17"/>
        </w:rPr>
        <w:t>44-ФЗ, Комиссия Межрегионального управления Федеральной антимонопольной службы по Ярославской области и Костромской области по контролю закупок,</w:t>
      </w:r>
    </w:p>
    <w:p>
      <w:pPr>
        <w:pStyle w:val="Style16"/>
        <w:keepNext w:val="0"/>
        <w:keepLines w:val="0"/>
        <w:widowControl w:val="0"/>
        <w:shd w:val="clear" w:color="auto" w:fill="auto"/>
        <w:bidi w:val="0"/>
        <w:spacing w:before="0" w:after="340" w:line="240" w:lineRule="auto"/>
        <w:ind w:left="0" w:right="0" w:firstLine="0"/>
        <w:jc w:val="center"/>
      </w:pPr>
      <w:r>
        <w:rPr>
          <w:rStyle w:val="CharStyle17"/>
        </w:rPr>
        <w:t>решила:</w:t>
      </w:r>
    </w:p>
    <w:p>
      <w:pPr>
        <w:pStyle w:val="Style16"/>
        <w:keepNext w:val="0"/>
        <w:keepLines w:val="0"/>
        <w:widowControl w:val="0"/>
        <w:numPr>
          <w:ilvl w:val="0"/>
          <w:numId w:val="11"/>
        </w:numPr>
        <w:shd w:val="clear" w:color="auto" w:fill="auto"/>
        <w:tabs>
          <w:tab w:pos="1083" w:val="left"/>
        </w:tabs>
        <w:bidi w:val="0"/>
        <w:spacing w:before="0" w:after="320" w:line="276" w:lineRule="auto"/>
        <w:ind w:left="0" w:right="0" w:firstLine="740"/>
        <w:jc w:val="both"/>
        <w:rPr>
          <w:sz w:val="24"/>
          <w:szCs w:val="24"/>
        </w:rPr>
        <w:sectPr>
          <w:footnotePr>
            <w:pos w:val="pageBottom"/>
            <w:numFmt w:val="decimal"/>
            <w:numRestart w:val="continuous"/>
          </w:footnotePr>
          <w:pgSz w:w="11900" w:h="16840"/>
          <w:pgMar w:top="1666" w:right="541" w:bottom="1076" w:left="1101" w:header="0" w:footer="3" w:gutter="0"/>
          <w:cols w:space="720"/>
          <w:noEndnote/>
          <w:rtlGutter w:val="0"/>
          <w:docGrid w:linePitch="360"/>
        </w:sectPr>
      </w:pPr>
      <w:r>
        <w:rPr>
          <w:rStyle w:val="CharStyle17"/>
        </w:rPr>
        <w:t xml:space="preserve">Признать жалобу ИП Пономарева М.Д. на действия заказчика, управления Федеральной службы государственной регистрации, кадастра и картографии по Ярославской области, при проведении аукциона в электронной форме на право заключения контракта на поставку и монтаж системы видеонаблюдения взамен </w:t>
      </w:r>
      <w:r>
        <w:rPr>
          <w:rStyle w:val="CharStyle17"/>
          <w:sz w:val="24"/>
          <w:szCs w:val="24"/>
          <w:lang w:val="en-US" w:eastAsia="en-US"/>
        </w:rPr>
        <w:t>2025-12172</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вышедшей из строя в здании Управления Росреестра по Ярославской области, расположенном по адресу: г. Ярославль, пр-т Толбухина, д. 64а (извещение </w:t>
      </w:r>
      <w:r>
        <w:rPr>
          <w:rStyle w:val="CharStyle17"/>
          <w:lang w:val="en-US" w:eastAsia="en-US"/>
        </w:rPr>
        <w:t xml:space="preserve">№ 0371100009625000023) </w:t>
      </w:r>
      <w:r>
        <w:rPr>
          <w:rStyle w:val="CharStyle17"/>
        </w:rPr>
        <w:t>обоснованной в части.</w:t>
      </w:r>
    </w:p>
    <w:p>
      <w:pPr>
        <w:pStyle w:val="Style16"/>
        <w:keepNext w:val="0"/>
        <w:keepLines w:val="0"/>
        <w:widowControl w:val="0"/>
        <w:numPr>
          <w:ilvl w:val="0"/>
          <w:numId w:val="11"/>
        </w:numPr>
        <w:shd w:val="clear" w:color="auto" w:fill="auto"/>
        <w:tabs>
          <w:tab w:pos="1069" w:val="left"/>
        </w:tabs>
        <w:bidi w:val="0"/>
        <w:spacing w:before="0" w:after="0" w:line="240" w:lineRule="auto"/>
        <w:ind w:left="0" w:right="0" w:firstLine="740"/>
        <w:jc w:val="both"/>
      </w:pPr>
      <w:r>
        <w:rPr>
          <w:rStyle w:val="CharStyle17"/>
        </w:rPr>
        <w:t xml:space="preserve">Признать заказчика нарушившим требования пункта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и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numPr>
          <w:ilvl w:val="0"/>
          <w:numId w:val="11"/>
        </w:numPr>
        <w:shd w:val="clear" w:color="auto" w:fill="auto"/>
        <w:tabs>
          <w:tab w:pos="1078" w:val="left"/>
        </w:tabs>
        <w:bidi w:val="0"/>
        <w:spacing w:before="0" w:after="0" w:line="240" w:lineRule="auto"/>
        <w:ind w:left="0" w:right="0" w:firstLine="740"/>
        <w:jc w:val="both"/>
      </w:pPr>
      <w:r>
        <w:rPr>
          <w:rStyle w:val="CharStyle17"/>
        </w:rPr>
        <w:t xml:space="preserve">По результатам внеплановой проверки соблюдения заказчиком, уполномоченным органом, комиссией по осуществлению закупок требований законодательства о контрактной системе при проведении аукциона в электронной форме на право заключения контракта на поставку и монтаж системы видеонаблюдения взамен вышедшей из строя в здании Управления Росреестра по Ярославской области, расположенном по адресу: г. Ярославль, пр-т Толбухина, д. 64а (извещение </w:t>
      </w:r>
      <w:r>
        <w:rPr>
          <w:rStyle w:val="CharStyle17"/>
          <w:lang w:val="en-US" w:eastAsia="en-US"/>
        </w:rPr>
        <w:t xml:space="preserve">№ 0371100009625000023) </w:t>
      </w:r>
      <w:r>
        <w:rPr>
          <w:rStyle w:val="CharStyle17"/>
        </w:rPr>
        <w:t xml:space="preserve">признать заказчика нарушившим пункт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 xml:space="preserve">44-ФЗ; признать комиссию по осуществлению закупок нарушившей требования подпункта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Федерального закона от </w:t>
      </w:r>
      <w:r>
        <w:rPr>
          <w:rStyle w:val="CharStyle17"/>
          <w:lang w:val="en-US" w:eastAsia="en-US"/>
        </w:rPr>
        <w:t xml:space="preserve">05.04.2013 № </w:t>
      </w:r>
      <w:r>
        <w:rPr>
          <w:rStyle w:val="CharStyle17"/>
        </w:rPr>
        <w:t>44-ФЗ.</w:t>
      </w:r>
    </w:p>
    <w:p>
      <w:pPr>
        <w:pStyle w:val="Style16"/>
        <w:keepNext w:val="0"/>
        <w:keepLines w:val="0"/>
        <w:widowControl w:val="0"/>
        <w:numPr>
          <w:ilvl w:val="0"/>
          <w:numId w:val="11"/>
        </w:numPr>
        <w:shd w:val="clear" w:color="auto" w:fill="auto"/>
        <w:tabs>
          <w:tab w:pos="1069" w:val="left"/>
        </w:tabs>
        <w:bidi w:val="0"/>
        <w:spacing w:before="0" w:after="0" w:line="240" w:lineRule="auto"/>
        <w:ind w:left="0" w:right="0" w:firstLine="740"/>
        <w:jc w:val="both"/>
      </w:pPr>
      <w:r>
        <w:rPr>
          <w:rStyle w:val="CharStyle17"/>
        </w:rPr>
        <w:t>Выдать заказчику, комиссии по осуществлению закупок обязательное для исполнения предписание об устранении выявленных нарушений.</w:t>
      </w:r>
    </w:p>
    <w:p>
      <w:pPr>
        <w:pStyle w:val="Style16"/>
        <w:keepNext w:val="0"/>
        <w:keepLines w:val="0"/>
        <w:widowControl w:val="0"/>
        <w:numPr>
          <w:ilvl w:val="0"/>
          <w:numId w:val="11"/>
        </w:numPr>
        <w:shd w:val="clear" w:color="auto" w:fill="auto"/>
        <w:tabs>
          <w:tab w:pos="1074" w:val="left"/>
        </w:tabs>
        <w:bidi w:val="0"/>
        <w:spacing w:before="0" w:after="280" w:line="240" w:lineRule="auto"/>
        <w:ind w:left="0" w:right="0" w:firstLine="740"/>
        <w:jc w:val="both"/>
      </w:pPr>
      <w:r>
        <w:rPr>
          <w:rStyle w:val="CharStyle17"/>
        </w:rPr>
        <w:t>Передать материалы настоящего решения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140" w:right="0" w:firstLine="700"/>
        <w:jc w:val="both"/>
      </w:pPr>
      <w:r>
        <w:rPr>
          <w:rStyle w:val="CharStyle17"/>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pgSz w:w="11900" w:h="16840"/>
          <w:pgMar w:top="1666" w:right="541" w:bottom="1133" w:left="1101" w:header="0" w:footer="3" w:gutter="0"/>
          <w:cols w:space="720"/>
          <w:noEndnote/>
          <w:rtlGutter w:val="0"/>
          <w:docGrid w:linePitch="360"/>
        </w:sectPr>
      </w:pPr>
      <w:r>
        <mc:AlternateContent>
          <mc:Choice Requires="wps">
            <w:drawing>
              <wp:anchor distT="508000" distB="215900" distL="0" distR="0" simplePos="0" relativeHeight="125829378" behindDoc="0" locked="0" layoutInCell="1" allowOverlap="1">
                <wp:simplePos x="0" y="0"/>
                <wp:positionH relativeFrom="page">
                  <wp:posOffset>739140</wp:posOffset>
                </wp:positionH>
                <wp:positionV relativeFrom="paragraph">
                  <wp:posOffset>508000</wp:posOffset>
                </wp:positionV>
                <wp:extent cx="1822450" cy="250190"/>
                <wp:wrapTopAndBottom/>
                <wp:docPr id="29" name="Shape 29"/>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55" type="#_x0000_t202" style="position:absolute;margin-left:58.200000000000003pt;margin-top:40.pt;width:143.5pt;height:19.699999999999999pt;z-index:-125829375;mso-wrap-distance-left:0;mso-wrap-distance-top:40.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577850" distB="0" distL="0" distR="1786255" simplePos="0" relativeHeight="125829380" behindDoc="0" locked="0" layoutInCell="1" allowOverlap="1">
            <wp:simplePos x="0" y="0"/>
            <wp:positionH relativeFrom="page">
              <wp:posOffset>2653030</wp:posOffset>
            </wp:positionH>
            <wp:positionV relativeFrom="paragraph">
              <wp:posOffset>577850</wp:posOffset>
            </wp:positionV>
            <wp:extent cx="359410" cy="39624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666115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pt;margin-top:52.450000000000003pt;width:135.59999999999999pt;height:20.40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215900" distL="0" distR="0" simplePos="0" relativeHeight="125829381" behindDoc="0" locked="0" layoutInCell="1" allowOverlap="1">
                <wp:simplePos x="0" y="0"/>
                <wp:positionH relativeFrom="page">
                  <wp:posOffset>6195060</wp:posOffset>
                </wp:positionH>
                <wp:positionV relativeFrom="paragraph">
                  <wp:posOffset>508000</wp:posOffset>
                </wp:positionV>
                <wp:extent cx="990600" cy="250190"/>
                <wp:wrapTopAndBottom/>
                <wp:docPr id="35" name="Shape 35"/>
                <a:graphic xmlns:a="http://schemas.openxmlformats.org/drawingml/2006/main">
                  <a:graphicData uri="http://schemas.microsoft.com/office/word/2010/wordprocessingShape">
                    <wps:wsp>
                      <wps:cNvSpPr txBox="1"/>
                      <wps:spPr>
                        <a:xfrm>
                          <a:ext cx="99060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А.М. Бубнов</w:t>
                            </w:r>
                          </w:p>
                        </w:txbxContent>
                      </wps:txbx>
                      <wps:bodyPr wrap="none" lIns="0" tIns="0" rIns="0" bIns="0">
                        <a:noAutoFit/>
                      </wps:bodyPr>
                    </wps:wsp>
                  </a:graphicData>
                </a:graphic>
              </wp:anchor>
            </w:drawing>
          </mc:Choice>
          <mc:Fallback>
            <w:pict>
              <v:shape id="_x0000_s1061" type="#_x0000_t202" style="position:absolute;margin-left:487.80000000000001pt;margin-top:40.pt;width:78.pt;height:19.699999999999999pt;z-index:-125829372;mso-wrap-distance-left:0;mso-wrap-distance-top:40.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А.М. Бубнов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Бубнов Александр Максимович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00DBCB2866CFEAFCCC59CC44C925E8F2</w:t>
      </w:r>
      <w:r>
        <w:rPr>
          <w:rStyle w:val="CharStyle29"/>
          <w:lang w:val="en-US" w:eastAsia="en-US"/>
        </w:rPr>
        <w:t>7</w:t>
      </w:r>
    </w:p>
    <w:p>
      <w:pPr>
        <w:pStyle w:val="Style28"/>
        <w:keepNext w:val="0"/>
        <w:keepLines w:val="0"/>
        <w:widowControl w:val="0"/>
        <w:shd w:val="clear" w:color="auto" w:fill="auto"/>
        <w:bidi w:val="0"/>
        <w:spacing w:before="0" w:after="260" w:line="240" w:lineRule="auto"/>
        <w:ind w:right="0" w:firstLine="0"/>
        <w:jc w:val="left"/>
      </w:pPr>
      <w:r>
        <w:rPr>
          <w:rStyle w:val="CharStyle29"/>
        </w:rPr>
        <w:t xml:space="preserve">Действителен с 18.04.2025 </w:t>
      </w:r>
      <w:r>
        <w:rPr>
          <w:rStyle w:val="CharStyle29"/>
          <w:color w:val="5C5C5C"/>
        </w:rPr>
        <w:t xml:space="preserve">по </w:t>
      </w:r>
      <w:r>
        <w:rPr>
          <w:rStyle w:val="CharStyle29"/>
        </w:rPr>
        <w:t>12.07.2026</w:t>
      </w:r>
    </w:p>
    <w:p>
      <w:pPr>
        <w:pStyle w:val="Style16"/>
        <w:keepNext w:val="0"/>
        <w:keepLines w:val="0"/>
        <w:widowControl w:val="0"/>
        <w:shd w:val="clear" w:color="auto" w:fill="auto"/>
        <w:bidi w:val="0"/>
        <w:spacing w:before="0" w:after="8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3" behindDoc="0" locked="0" layoutInCell="1" allowOverlap="1">
            <wp:simplePos x="0" y="0"/>
            <wp:positionH relativeFrom="page">
              <wp:posOffset>2653030</wp:posOffset>
            </wp:positionH>
            <wp:positionV relativeFrom="paragraph">
              <wp:posOffset>63500</wp:posOffset>
            </wp:positionV>
            <wp:extent cx="359410" cy="39624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151765</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2.pt;margin-top:11.950000000000001pt;width:135.59999999999999pt;height:20.400000000000002pt;z-index:251657731;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Е.К. Семенычева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66" w:lineRule="auto"/>
        <w:ind w:right="0" w:firstLine="0"/>
        <w:jc w:val="left"/>
      </w:pPr>
      <w:r>
        <w:rPr>
          <w:rStyle w:val="CharStyle29"/>
        </w:rPr>
        <w:t xml:space="preserve">Кому выдан: </w:t>
      </w:r>
      <w:r>
        <w:rPr>
          <w:rStyle w:val="CharStyle29"/>
          <w:color w:val="000000"/>
        </w:rPr>
        <w:t>Семенычева Екатерина Константиновна</w:t>
      </w:r>
      <w:r>
        <w:rPr>
          <w:rStyle w:val="CharStyle29"/>
          <w:color w:val="000000"/>
        </w:rPr>
        <w:t xml:space="preserve"> </w:t>
      </w:r>
      <w:r>
        <w:rPr>
          <w:rStyle w:val="CharStyle29"/>
        </w:rPr>
        <w:t xml:space="preserve">Сертификат </w:t>
      </w:r>
      <w:r>
        <w:rPr>
          <w:rStyle w:val="CharStyle29"/>
          <w:color w:val="292929"/>
        </w:rPr>
        <w:t xml:space="preserve">№ </w:t>
      </w:r>
      <w:r>
        <w:rPr>
          <w:rStyle w:val="CharStyle29"/>
          <w:lang w:val="en-US" w:eastAsia="en-US"/>
        </w:rPr>
        <w:t>3DC2BBCC5E031</w:t>
      </w:r>
      <w:r>
        <w:rPr>
          <w:rStyle w:val="CharStyle29"/>
        </w:rPr>
        <w:t>4А5А9С03897СЕ91</w:t>
      </w:r>
      <w:r>
        <w:rPr>
          <w:rStyle w:val="CharStyle29"/>
          <w:lang w:val="en-US" w:eastAsia="en-US"/>
        </w:rPr>
        <w:t>BE8F</w:t>
      </w:r>
    </w:p>
    <w:p>
      <w:pPr>
        <w:pStyle w:val="Style28"/>
        <w:keepNext w:val="0"/>
        <w:keepLines w:val="0"/>
        <w:widowControl w:val="0"/>
        <w:shd w:val="clear" w:color="auto" w:fill="auto"/>
        <w:bidi w:val="0"/>
        <w:spacing w:before="0" w:after="260" w:line="266" w:lineRule="auto"/>
        <w:ind w:right="0" w:firstLine="0"/>
        <w:jc w:val="left"/>
      </w:pPr>
      <w:r>
        <w:rPr>
          <w:rStyle w:val="CharStyle29"/>
        </w:rPr>
        <w:t xml:space="preserve">Действителен с 23.07.2024 </w:t>
      </w:r>
      <w:r>
        <w:rPr>
          <w:rStyle w:val="CharStyle29"/>
          <w:color w:val="5C5C5C"/>
        </w:rPr>
        <w:t xml:space="preserve">по </w:t>
      </w:r>
      <w:r>
        <w:rPr>
          <w:rStyle w:val="CharStyle29"/>
        </w:rPr>
        <w:t>16.10.2025</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2622550</wp:posOffset>
            </wp:positionH>
            <wp:positionV relativeFrom="paragraph">
              <wp:posOffset>25400</wp:posOffset>
            </wp:positionV>
            <wp:extent cx="389890" cy="55499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7"/>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464185</wp:posOffset>
                </wp:positionV>
                <wp:extent cx="1283335" cy="100330"/>
                <wp:wrapNone/>
                <wp:docPr id="43" name="Shape 4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45.15000000000001pt;margin-top:36.550000000000004pt;width:101.05pt;height:7.9000000000000004pt;z-index:251657733;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147320</wp:posOffset>
                </wp:positionV>
                <wp:extent cx="1722120" cy="259080"/>
                <wp:wrapNone/>
                <wp:docPr id="45" name="Shape 4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2.pt;margin-top:11.6pt;width:135.59999999999999pt;height:20.400000000000002pt;z-index:251657735;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Я.В. Хлынина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ХЛЫНИНА ЯНА ВИКТОРОВНА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04A4480628A8E7E6B06D327FDF169DD0</w:t>
      </w:r>
    </w:p>
    <w:p>
      <w:pPr>
        <w:pStyle w:val="Style28"/>
        <w:keepNext w:val="0"/>
        <w:keepLines w:val="0"/>
        <w:widowControl w:val="0"/>
        <w:shd w:val="clear" w:color="auto" w:fill="auto"/>
        <w:bidi w:val="0"/>
        <w:spacing w:before="0" w:after="80" w:line="240" w:lineRule="auto"/>
        <w:ind w:right="0" w:firstLine="0"/>
        <w:jc w:val="left"/>
      </w:pPr>
      <w:r>
        <w:rPr>
          <w:rStyle w:val="CharStyle29"/>
        </w:rPr>
        <w:t xml:space="preserve">Действителен с 21.02.2025 </w:t>
      </w:r>
      <w:r>
        <w:rPr>
          <w:rStyle w:val="CharStyle29"/>
          <w:color w:val="5C5C5C"/>
        </w:rPr>
        <w:t xml:space="preserve">по </w:t>
      </w:r>
      <w:r>
        <w:rPr>
          <w:rStyle w:val="CharStyle29"/>
        </w:rPr>
        <w:t>17.05.2026</w:t>
      </w:r>
    </w:p>
    <w:sectPr>
      <w:footnotePr>
        <w:pos w:val="pageBottom"/>
        <w:numFmt w:val="decimal"/>
        <w:numRestart w:val="continuous"/>
      </w:footnotePr>
      <w:pgSz w:w="11900" w:h="16840"/>
      <w:pgMar w:top="1666" w:right="541" w:bottom="1133"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10031730</wp:posOffset>
              </wp:positionV>
              <wp:extent cx="725170" cy="128270"/>
              <wp:wrapNone/>
              <wp:docPr id="1" name="Shape 1"/>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2025-12172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9.89999999999998pt;width:57.1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2025-12172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10031730</wp:posOffset>
              </wp:positionV>
              <wp:extent cx="725170" cy="128270"/>
              <wp:wrapNone/>
              <wp:docPr id="3" name="Shape 3"/>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2025-12172</w:t>
                          </w:r>
                        </w:p>
                      </w:txbxContent>
                    </wps:txbx>
                    <wps:bodyPr wrap="none" lIns="0" tIns="0" rIns="0" bIns="0">
                      <a:spAutoFit/>
                    </wps:bodyPr>
                  </wps:wsp>
                </a:graphicData>
              </a:graphic>
            </wp:anchor>
          </w:drawing>
        </mc:Choice>
        <mc:Fallback>
          <w:pict>
            <v:shape id="_x0000_s1029" type="#_x0000_t202" style="position:absolute;margin-left:56.75pt;margin-top:789.89999999999998pt;width:57.1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2025-12172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722630</wp:posOffset>
              </wp:positionH>
              <wp:positionV relativeFrom="page">
                <wp:posOffset>9832975</wp:posOffset>
              </wp:positionV>
              <wp:extent cx="725170" cy="128270"/>
              <wp:wrapNone/>
              <wp:docPr id="9" name="Shape 9"/>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wps:txbx>
                    <wps:bodyPr wrap="none" lIns="0" tIns="0" rIns="0" bIns="0">
                      <a:spAutoFit/>
                    </wps:bodyPr>
                  </wps:wsp>
                </a:graphicData>
              </a:graphic>
            </wp:anchor>
          </w:drawing>
        </mc:Choice>
        <mc:Fallback>
          <w:pict>
            <v:shape id="_x0000_s1035" type="#_x0000_t202" style="position:absolute;margin-left:56.899999999999999pt;margin-top:774.25pt;width:57.100000000000001pt;height:10.1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722630</wp:posOffset>
              </wp:positionH>
              <wp:positionV relativeFrom="page">
                <wp:posOffset>9832975</wp:posOffset>
              </wp:positionV>
              <wp:extent cx="725170" cy="128270"/>
              <wp:wrapNone/>
              <wp:docPr id="17" name="Shape 17"/>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wps:txbx>
                    <wps:bodyPr wrap="none" lIns="0" tIns="0" rIns="0" bIns="0">
                      <a:spAutoFit/>
                    </wps:bodyPr>
                  </wps:wsp>
                </a:graphicData>
              </a:graphic>
            </wp:anchor>
          </w:drawing>
        </mc:Choice>
        <mc:Fallback>
          <w:pict>
            <v:shape id="_x0000_s1043" type="#_x0000_t202" style="position:absolute;margin-left:56.899999999999999pt;margin-top:774.25pt;width:57.100000000000001pt;height:10.1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722630</wp:posOffset>
              </wp:positionH>
              <wp:positionV relativeFrom="page">
                <wp:posOffset>9832975</wp:posOffset>
              </wp:positionV>
              <wp:extent cx="725170" cy="128270"/>
              <wp:wrapNone/>
              <wp:docPr id="21" name="Shape 21"/>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wps:txbx>
                    <wps:bodyPr wrap="none" lIns="0" tIns="0" rIns="0" bIns="0">
                      <a:spAutoFit/>
                    </wps:bodyPr>
                  </wps:wsp>
                </a:graphicData>
              </a:graphic>
            </wp:anchor>
          </w:drawing>
        </mc:Choice>
        <mc:Fallback>
          <w:pict>
            <v:shape id="_x0000_s1047" type="#_x0000_t202" style="position:absolute;margin-left:56.899999999999999pt;margin-top:774.25pt;width:57.100000000000001pt;height:10.1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722630</wp:posOffset>
              </wp:positionH>
              <wp:positionV relativeFrom="page">
                <wp:posOffset>9832975</wp:posOffset>
              </wp:positionV>
              <wp:extent cx="725170" cy="128270"/>
              <wp:wrapNone/>
              <wp:docPr id="27" name="Shape 27"/>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wps:txbx>
                    <wps:bodyPr wrap="none" lIns="0" tIns="0" rIns="0" bIns="0">
                      <a:spAutoFit/>
                    </wps:bodyPr>
                  </wps:wsp>
                </a:graphicData>
              </a:graphic>
            </wp:anchor>
          </w:drawing>
        </mc:Choice>
        <mc:Fallback>
          <w:pict>
            <v:shape id="_x0000_s1053" type="#_x0000_t202" style="position:absolute;margin-left:56.899999999999999pt;margin-top:774.25pt;width:57.100000000000001pt;height:10.1pt;z-index:-18874403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2025-12172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3893820</wp:posOffset>
              </wp:positionH>
              <wp:positionV relativeFrom="page">
                <wp:posOffset>757555</wp:posOffset>
              </wp:positionV>
              <wp:extent cx="133985" cy="106680"/>
              <wp:wrapNone/>
              <wp:docPr id="5" name="Shape 5"/>
              <a:graphic xmlns:a="http://schemas.openxmlformats.org/drawingml/2006/main">
                <a:graphicData uri="http://schemas.microsoft.com/office/word/2010/wordprocessingShape">
                  <wps:wsp>
                    <wps:cNvSpPr txBox="1"/>
                    <wps:spPr>
                      <a:xfrm>
                        <a:ext cx="13398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6.60000000000002pt;margin-top:59.649999999999999pt;width:10.55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3892550</wp:posOffset>
              </wp:positionH>
              <wp:positionV relativeFrom="page">
                <wp:posOffset>758825</wp:posOffset>
              </wp:positionV>
              <wp:extent cx="140335" cy="106680"/>
              <wp:wrapNone/>
              <wp:docPr id="7" name="Shape 7"/>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5pt;margin-top:59.75pt;width:11.050000000000001pt;height:8.4000000000000004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3893820</wp:posOffset>
              </wp:positionH>
              <wp:positionV relativeFrom="page">
                <wp:posOffset>757555</wp:posOffset>
              </wp:positionV>
              <wp:extent cx="133985" cy="106680"/>
              <wp:wrapNone/>
              <wp:docPr id="11" name="Shape 11"/>
              <a:graphic xmlns:a="http://schemas.openxmlformats.org/drawingml/2006/main">
                <a:graphicData uri="http://schemas.microsoft.com/office/word/2010/wordprocessingShape">
                  <wps:wsp>
                    <wps:cNvSpPr txBox="1"/>
                    <wps:spPr>
                      <a:xfrm>
                        <a:ext cx="13398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60000000000002pt;margin-top:59.649999999999999pt;width:10.550000000000001pt;height:8.4000000000000004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3893820</wp:posOffset>
              </wp:positionH>
              <wp:positionV relativeFrom="page">
                <wp:posOffset>757555</wp:posOffset>
              </wp:positionV>
              <wp:extent cx="133985" cy="106680"/>
              <wp:wrapNone/>
              <wp:docPr id="13" name="Shape 13"/>
              <a:graphic xmlns:a="http://schemas.openxmlformats.org/drawingml/2006/main">
                <a:graphicData uri="http://schemas.microsoft.com/office/word/2010/wordprocessingShape">
                  <wps:wsp>
                    <wps:cNvSpPr txBox="1"/>
                    <wps:spPr>
                      <a:xfrm>
                        <a:ext cx="13398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60000000000002pt;margin-top:59.649999999999999pt;width:10.550000000000001pt;height:8.4000000000000004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3892550</wp:posOffset>
              </wp:positionH>
              <wp:positionV relativeFrom="page">
                <wp:posOffset>758825</wp:posOffset>
              </wp:positionV>
              <wp:extent cx="140335" cy="106680"/>
              <wp:wrapNone/>
              <wp:docPr id="15" name="Shape 15"/>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5pt;margin-top:59.75pt;width:11.050000000000001pt;height:8.4000000000000004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3892550</wp:posOffset>
              </wp:positionH>
              <wp:positionV relativeFrom="page">
                <wp:posOffset>758825</wp:posOffset>
              </wp:positionV>
              <wp:extent cx="140335" cy="106680"/>
              <wp:wrapNone/>
              <wp:docPr id="19" name="Shape 19"/>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5pt;margin-top:59.75pt;width:11.050000000000001pt;height:8.4000000000000004pt;z-index:-18874404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3893820</wp:posOffset>
              </wp:positionH>
              <wp:positionV relativeFrom="page">
                <wp:posOffset>757555</wp:posOffset>
              </wp:positionV>
              <wp:extent cx="133985" cy="106680"/>
              <wp:wrapNone/>
              <wp:docPr id="23" name="Shape 23"/>
              <a:graphic xmlns:a="http://schemas.openxmlformats.org/drawingml/2006/main">
                <a:graphicData uri="http://schemas.microsoft.com/office/word/2010/wordprocessingShape">
                  <wps:wsp>
                    <wps:cNvSpPr txBox="1"/>
                    <wps:spPr>
                      <a:xfrm>
                        <a:ext cx="13398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6.60000000000002pt;margin-top:59.649999999999999pt;width:10.550000000000001pt;height:8.4000000000000004pt;z-index:-18874404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3892550</wp:posOffset>
              </wp:positionH>
              <wp:positionV relativeFrom="page">
                <wp:posOffset>758825</wp:posOffset>
              </wp:positionV>
              <wp:extent cx="140335" cy="106680"/>
              <wp:wrapNone/>
              <wp:docPr id="25" name="Shape 25"/>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6.5pt;margin-top:59.75pt;width:11.050000000000001pt;height:8.4000000000000004pt;z-index:-18874403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8"/>
      <w:sz w:val="182"/>
      <w:szCs w:val="182"/>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4"/>
      <w:szCs w:val="34"/>
      <w:u w:val="none"/>
      <w:lang w:val="en-US" w:eastAsia="en-US"/>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34343"/>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8"/>
      <w:sz w:val="182"/>
      <w:szCs w:val="182"/>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line="278"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4)"/>
    <w:basedOn w:val="Normal"/>
    <w:link w:val="CharStyle11"/>
    <w:pPr>
      <w:widowControl w:val="0"/>
      <w:shd w:val="clear" w:color="auto" w:fill="auto"/>
      <w:spacing w:after="24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2"/>
    <w:basedOn w:val="Normal"/>
    <w:link w:val="CharStyle13"/>
    <w:pPr>
      <w:widowControl w:val="0"/>
      <w:shd w:val="clear" w:color="auto" w:fill="auto"/>
      <w:spacing w:after="320" w:line="209" w:lineRule="auto"/>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ing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5)"/>
    <w:basedOn w:val="Normal"/>
    <w:link w:val="CharStyle27"/>
    <w:pPr>
      <w:widowControl w:val="0"/>
      <w:shd w:val="clear" w:color="auto" w:fill="auto"/>
      <w:spacing w:after="80"/>
      <w:ind w:left="3820"/>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eader" Target="header1.xml"/><Relationship Id="rId8" Type="http://schemas.openxmlformats.org/officeDocument/2006/relationships/footer" Target="footer3.xml"/><Relationship Id="rId9" Type="http://schemas.openxmlformats.org/officeDocument/2006/relationships/header" Target="header2.xml"/><Relationship Id="rId10" Type="http://schemas.openxmlformats.org/officeDocument/2006/relationships/footer" Target="footer4.xml"/><Relationship Id="rId11" Type="http://schemas.openxmlformats.org/officeDocument/2006/relationships/header" Target="header3.xml"/><Relationship Id="rId12" Type="http://schemas.openxmlformats.org/officeDocument/2006/relationships/footer" Target="footer5.xml"/><Relationship Id="rId13" Type="http://schemas.openxmlformats.org/officeDocument/2006/relationships/header" Target="header4.xml"/><Relationship Id="rId14" Type="http://schemas.openxmlformats.org/officeDocument/2006/relationships/footer" Target="footer6.xml"/><Relationship Id="rId15" Type="http://schemas.openxmlformats.org/officeDocument/2006/relationships/header" Target="header5.xml"/><Relationship Id="rId16" Type="http://schemas.openxmlformats.org/officeDocument/2006/relationships/footer" Target="footer7.xml"/><Relationship Id="rId17" Type="http://schemas.openxmlformats.org/officeDocument/2006/relationships/header" Target="header6.xml"/><Relationship Id="rId18" Type="http://schemas.openxmlformats.org/officeDocument/2006/relationships/footer" Target="footer8.xml"/><Relationship Id="rId19" Type="http://schemas.openxmlformats.org/officeDocument/2006/relationships/header" Target="header7.xml"/><Relationship Id="rId20" Type="http://schemas.openxmlformats.org/officeDocument/2006/relationships/footer" Target="footer9.xml"/><Relationship Id="rId21" Type="http://schemas.openxmlformats.org/officeDocument/2006/relationships/header" Target="header8.xml"/><Relationship Id="rId22" Type="http://schemas.openxmlformats.org/officeDocument/2006/relationships/footer" Target="footer10.xml"/><Relationship Id="rId23" Type="http://schemas.openxmlformats.org/officeDocument/2006/relationships/image" Target="media/image1.jpeg"/><Relationship Id="rId24" Type="http://schemas.openxmlformats.org/officeDocument/2006/relationships/image" Target="media/image1.jpeg" TargetMode="External"/><Relationship Id="rId25" Type="http://schemas.openxmlformats.org/officeDocument/2006/relationships/image" Target="media/image2.jpeg"/><Relationship Id="rId26" Type="http://schemas.openxmlformats.org/officeDocument/2006/relationships/image" Target="media/image2.jpeg" TargetMode="External"/><Relationship Id="rId27" Type="http://schemas.openxmlformats.org/officeDocument/2006/relationships/image" Target="media/image3.jpeg"/><Relationship Id="rId28" Type="http://schemas.openxmlformats.org/officeDocument/2006/relationships/image" Target="media/image3.jpeg" TargetMode="External"/></Relationships>
</file>