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385" w:right="541" w:bottom="938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64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г. Нижний Новгород, 603000</w:t>
        <w:br/>
        <w:t>тел. (831) 431-73-73, (831) 431-73-83</w:t>
        <w:br/>
      </w:r>
      <w:r>
        <w:rPr>
          <w:rStyle w:val="CharStyle6"/>
          <w:u w:val="single"/>
          <w:lang w:val="en-US" w:eastAsia="en-US"/>
        </w:rPr>
        <w:t>e-mail: to52@,</w:t>
      </w:r>
      <w:r>
        <w:rPr>
          <w:rStyle w:val="CharStyle6"/>
          <w:u w:val="single"/>
          <w:lang w:val="en-US" w:eastAsia="en-US"/>
        </w:rPr>
        <w:t>fas.gov.ru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3.09.2025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ИБ/18542/2</w:t>
      </w:r>
      <w:r>
        <w:rPr>
          <w:rStyle w:val="CharStyle10"/>
          <w:u w:val="none"/>
        </w:rPr>
        <w:t>5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260" w:firstLine="0"/>
        <w:jc w:val="right"/>
      </w:pPr>
      <w:r>
        <w:rPr>
          <w:rStyle w:val="CharStyle6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</w:rPr>
        <w:t>Решение по жалобе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</w:rPr>
        <w:t>052/06/105-2343/2025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15"/>
          <w:b/>
          <w:bCs/>
        </w:rPr>
        <w:t>ГБУЗ НО "ГКБ № 40"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603083, Нижегородская область, город Нижний Новгород, ул. Героя Юрия Смирнова, д.71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fldChar w:fldCharType="begin"/>
      </w:r>
      <w:r>
        <w:rPr/>
        <w:instrText> HYPERLINK "mailto:gkb40zakupki@yandex.ru" </w:instrText>
      </w:r>
      <w:r>
        <w:fldChar w:fldCharType="separate"/>
      </w:r>
      <w:r>
        <w:rPr>
          <w:rStyle w:val="CharStyle13"/>
          <w:lang w:val="en-US" w:eastAsia="en-US"/>
        </w:rPr>
        <w:t>gkb40zakupki@yandex.ru</w:t>
      </w:r>
      <w:r>
        <w:fldChar w:fldCharType="end"/>
      </w:r>
      <w:r>
        <w:rPr>
          <w:rStyle w:val="CharStyle13"/>
          <w:lang w:val="en-US" w:eastAsia="en-US"/>
        </w:rPr>
        <w:t xml:space="preserve">, </w:t>
      </w:r>
      <w:r>
        <w:fldChar w:fldCharType="begin"/>
      </w:r>
      <w:r>
        <w:rPr/>
        <w:instrText> HYPERLINK "mailto:zakupki40gkb@yandex.ru" </w:instrText>
      </w:r>
      <w:r>
        <w:fldChar w:fldCharType="separate"/>
      </w:r>
      <w:r>
        <w:rPr>
          <w:rStyle w:val="CharStyle13"/>
          <w:lang w:val="en-US" w:eastAsia="en-US"/>
        </w:rPr>
        <w:t>zakupki40gkb@yandex.ru</w:t>
      </w:r>
      <w:r>
        <w:fldChar w:fldCharType="end"/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5"/>
          <w:b/>
          <w:bCs/>
        </w:rPr>
        <w:t>ЭТП «Фабрикант»</w:t>
      </w:r>
      <w:bookmarkEnd w:id="4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123112, город Москва, улица Тестовская, дом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07" w:val="left"/>
        </w:tabs>
        <w:bidi w:val="0"/>
        <w:spacing w:before="0" w:after="240" w:line="240" w:lineRule="auto"/>
        <w:ind w:left="0" w:right="0" w:firstLine="0"/>
        <w:jc w:val="left"/>
      </w:pPr>
      <w:r>
        <w:rPr>
          <w:rStyle w:val="CharStyle13"/>
        </w:rPr>
        <w:t xml:space="preserve">этаж 25, помещение 1, комната 1 </w:t>
      </w:r>
      <w:r>
        <w:fldChar w:fldCharType="begin"/>
      </w:r>
      <w:r>
        <w:rPr/>
        <w:instrText> HYPERLINK "mailto:pfo@etpz.ru" </w:instrText>
      </w:r>
      <w:r>
        <w:fldChar w:fldCharType="separate"/>
      </w:r>
      <w:r>
        <w:rPr>
          <w:rStyle w:val="CharStyle13"/>
          <w:lang w:val="en-US" w:eastAsia="en-US"/>
        </w:rPr>
        <w:t>pfo@etpz.ru</w:t>
      </w:r>
      <w:r>
        <w:fldChar w:fldCharType="end"/>
      </w:r>
      <w:r>
        <w:rPr>
          <w:rStyle w:val="CharStyle13"/>
          <w:lang w:val="en-US" w:eastAsia="en-US"/>
        </w:rPr>
        <w:t xml:space="preserve">, </w:t>
      </w:r>
      <w:r>
        <w:fldChar w:fldCharType="begin"/>
      </w:r>
      <w:r>
        <w:rPr/>
        <w:instrText> HYPERLINK "mailto:info@fabrikant.ru" </w:instrText>
      </w:r>
      <w:r>
        <w:fldChar w:fldCharType="separate"/>
      </w:r>
      <w:r>
        <w:rPr>
          <w:rStyle w:val="CharStyle13"/>
          <w:lang w:val="en-US" w:eastAsia="en-US"/>
        </w:rPr>
        <w:t>info@fabrikant.ru</w:t>
      </w:r>
      <w:r>
        <w:fldChar w:fldCharType="end"/>
      </w:r>
      <w:r>
        <w:rPr>
          <w:rStyle w:val="CharStyle13"/>
          <w:lang w:val="en-US" w:eastAsia="en-US"/>
        </w:rPr>
        <w:t xml:space="preserve">, </w:t>
      </w:r>
      <w:r>
        <w:fldChar w:fldCharType="begin"/>
      </w:r>
      <w:r>
        <w:rPr/>
        <w:instrText> HYPERLINK "mailto:auditors@fabrikant.ru" </w:instrText>
      </w:r>
      <w:r>
        <w:fldChar w:fldCharType="separate"/>
      </w:r>
      <w:r>
        <w:rPr>
          <w:rStyle w:val="CharStyle13"/>
          <w:lang w:val="en-US" w:eastAsia="en-US"/>
        </w:rPr>
        <w:t>auditors@fabrikant.ru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704" w:bottom="1395" w:left="1135" w:header="0" w:footer="3" w:gutter="0"/>
          <w:cols w:num="2" w:space="720" w:equalWidth="0">
            <w:col w:w="4320" w:space="946"/>
            <w:col w:w="4795"/>
          </w:cols>
          <w:noEndnote/>
          <w:rtlGutter w:val="0"/>
          <w:docGrid w:linePitch="360"/>
        </w:sectPr>
      </w:pPr>
      <w:r>
        <w:rPr>
          <w:rStyle w:val="CharStyle13"/>
          <w:b/>
          <w:bCs/>
        </w:rPr>
        <w:t xml:space="preserve">ИП Кравченко Алексей Викторович </w:t>
      </w:r>
      <w:r>
        <w:fldChar w:fldCharType="begin"/>
      </w:r>
      <w:r>
        <w:rPr/>
        <w:instrText> HYPERLINK "mailto:info@gosfarm.ru" </w:instrText>
      </w:r>
      <w:r>
        <w:fldChar w:fldCharType="separate"/>
      </w:r>
      <w:r>
        <w:rPr>
          <w:rStyle w:val="CharStyle13"/>
          <w:lang w:val="en-US" w:eastAsia="en-US"/>
        </w:rPr>
        <w:t>info@gosfarm.ru</w:t>
      </w:r>
      <w:r>
        <w:fldChar w:fldCharType="end"/>
      </w:r>
    </w:p>
    <w:p>
      <w:pPr>
        <w:widowControl w:val="0"/>
        <w:spacing w:line="189" w:lineRule="exact"/>
        <w:rPr>
          <w:sz w:val="15"/>
          <w:szCs w:val="1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27" w:right="0" w:bottom="133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6" w:name="bookmark6"/>
      <w:r>
        <w:rPr>
          <w:rStyle w:val="CharStyle15"/>
          <w:b/>
          <w:bCs/>
        </w:rPr>
        <w:t>РЕШЕНИЕ</w:t>
        <w:br/>
        <w:t>№052/06/105-2343/2025</w:t>
      </w:r>
      <w:bookmarkEnd w:id="6"/>
    </w:p>
    <w:p>
      <w:pPr>
        <w:pStyle w:val="Style12"/>
        <w:keepNext w:val="0"/>
        <w:keepLines w:val="0"/>
        <w:widowControl w:val="0"/>
        <w:shd w:val="clear" w:color="auto" w:fill="auto"/>
        <w:tabs>
          <w:tab w:pos="7666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rStyle w:val="CharStyle13"/>
        </w:rPr>
        <w:t>29 августа 2025 года</w:t>
        <w:tab/>
        <w:t>город Нижний Новгород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rStyle w:val="CharStyle13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tbl>
      <w:tblPr>
        <w:tblOverlap w:val="never"/>
        <w:jc w:val="center"/>
        <w:tblLayout w:type="fixed"/>
      </w:tblPr>
      <w:tblGrid>
        <w:gridCol w:w="2203"/>
        <w:gridCol w:w="8040"/>
      </w:tblGrid>
      <w:tr>
        <w:trPr>
          <w:trHeight w:val="845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0"/>
              </w:rPr>
              <w:t>- Баранова И.В.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0"/>
              </w:rPr>
              <w:t>- Войновой М.К.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20"/>
              </w:rPr>
              <w:t>- председателя комиссии, заместителя руководителя Управления,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hanging="180"/>
              <w:jc w:val="both"/>
            </w:pPr>
            <w:r>
              <w:rPr>
                <w:rStyle w:val="CharStyle20"/>
              </w:rPr>
              <w:t>-члена комиссии, ведущего специалиста-эксперта отдела контроля государственных и муниципальных закупок,</w:t>
            </w:r>
          </w:p>
        </w:tc>
      </w:tr>
      <w:tr>
        <w:trPr>
          <w:trHeight w:val="533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0"/>
              </w:rPr>
              <w:t>-Лебедевой Ю.К.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hanging="180"/>
              <w:jc w:val="both"/>
            </w:pPr>
            <w:r>
              <w:rPr>
                <w:rStyle w:val="CharStyle20"/>
              </w:rPr>
              <w:t>-члена комиссии, специалиста-эксперта отдела контроля государственных и муниципальных закупок,</w:t>
            </w:r>
          </w:p>
        </w:tc>
      </w:tr>
    </w:tbl>
    <w:p>
      <w:pPr>
        <w:widowControl w:val="0"/>
        <w:spacing w:after="319" w:line="1" w:lineRule="exact"/>
      </w:pPr>
    </w:p>
    <w:p>
      <w:pPr>
        <w:widowControl w:val="0"/>
        <w:spacing w:line="1" w:lineRule="exact"/>
      </w:pP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при очном участии:</w:t>
      </w:r>
    </w:p>
    <w:tbl>
      <w:tblPr>
        <w:tblOverlap w:val="never"/>
        <w:jc w:val="center"/>
        <w:tblLayout w:type="fixed"/>
      </w:tblPr>
      <w:tblGrid>
        <w:gridCol w:w="2203"/>
        <w:gridCol w:w="8040"/>
      </w:tblGrid>
      <w:tr>
        <w:trPr>
          <w:trHeight w:val="76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0"/>
              </w:rPr>
              <w:t>- Гордеевой Е.В.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hanging="180"/>
              <w:jc w:val="both"/>
            </w:pPr>
            <w:r>
              <w:rPr>
                <w:rStyle w:val="CharStyle20"/>
              </w:rPr>
              <w:t>- представителя ГБУЗ НО "ГКБ № 40" по доверенности (доверенность №41 от 26.06.2025г),</w:t>
            </w:r>
          </w:p>
        </w:tc>
      </w:tr>
      <w:tr>
        <w:trPr>
          <w:trHeight w:val="65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0"/>
              </w:rPr>
              <w:t>- Якушевой Е.В.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hanging="180"/>
              <w:jc w:val="both"/>
            </w:pPr>
            <w:r>
              <w:rPr>
                <w:rStyle w:val="CharStyle20"/>
              </w:rPr>
              <w:t>- представителя ГБУЗ НО "ГКБ № 40" по доверенности (доверенность №40 от 26.06.2025г),</w:t>
            </w:r>
          </w:p>
        </w:tc>
      </w:tr>
      <w:tr>
        <w:trPr>
          <w:trHeight w:val="610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0"/>
              </w:rPr>
              <w:t>- Чистякова Ю.С.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hanging="180"/>
              <w:jc w:val="both"/>
            </w:pPr>
            <w:r>
              <w:rPr>
                <w:rStyle w:val="CharStyle20"/>
              </w:rPr>
              <w:t>- представителя ГБУЗ НО "ГКБ № 40" по доверенности (доверенность №54 от 29.08.2025г),</w:t>
            </w:r>
          </w:p>
        </w:tc>
      </w:tr>
    </w:tbl>
    <w:p>
      <w:pPr>
        <w:widowControl w:val="0"/>
        <w:spacing w:after="31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rStyle w:val="CharStyle13"/>
        </w:rPr>
        <w:t>рассмотрев жалобу Индивидуального предпринимателя Кравченко Алексея Викторовича (далее также – заявитель, ИП Кравченко А.В.) на действия заказчика Государственное бюджетное учреждение здравоохранения Нижегородской области «Городская клиническая больница №40 Автозаводского района г. Нижнего Новгорода» (далее также — ГБУЗ НО "ГКБ № 40", заказчик) при определении поставщика путем проведения электронного аукциона на право заключения</w:t>
      </w:r>
    </w:p>
    <w:p>
      <w:pPr>
        <w:widowControl w:val="0"/>
        <w:spacing w:line="1" w:lineRule="exact"/>
      </w:pPr>
      <w:r>
        <w:drawing>
          <wp:anchor distT="508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50800</wp:posOffset>
            </wp:positionV>
            <wp:extent cx="1298575" cy="41465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298575" cy="41465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3"/>
        </w:rPr>
        <w:t xml:space="preserve">контракта по объекту закупки: «Поставка аппарата УЗИ переносного с набором датчиков», номер извещения </w:t>
      </w:r>
      <w:r>
        <w:rPr>
          <w:rStyle w:val="CharStyle13"/>
          <w:lang w:val="en-US" w:eastAsia="en-US"/>
        </w:rPr>
        <w:t>0832200006625000857,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bookmarkStart w:id="8" w:name="bookmark8"/>
      <w:r>
        <w:rPr>
          <w:rStyle w:val="CharStyle15"/>
          <w:b/>
          <w:bCs/>
        </w:rPr>
        <w:t>установила:</w:t>
      </w:r>
      <w:bookmarkEnd w:id="8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 xml:space="preserve">В Управление Федеральной антимонопольной службы по Нижегородской области поступила жалоба заявителя на действия заказчика при проведении электронного аукциона на право заключения контракта по объекту закупки: «Поставка аппарата УЗИ переносного с набором датчиков», номер извещения </w:t>
      </w:r>
      <w:r>
        <w:rPr>
          <w:rStyle w:val="CharStyle13"/>
          <w:lang w:val="en-US" w:eastAsia="en-US"/>
        </w:rPr>
        <w:t xml:space="preserve">0832200006625000851 </w:t>
      </w:r>
      <w:r>
        <w:rPr>
          <w:rStyle w:val="CharStyle13"/>
        </w:rPr>
        <w:t xml:space="preserve">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электронный аукцион).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 xml:space="preserve">По мнению заявителя, действия заказчика не соответствуют требованиям положений 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также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Закон о контрактной системе).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  <w:lang w:val="en-US" w:eastAsia="en-US"/>
        </w:rPr>
        <w:t xml:space="preserve">29.08.2025 </w:t>
      </w:r>
      <w:r>
        <w:rPr>
          <w:rStyle w:val="CharStyle13"/>
        </w:rPr>
        <w:t>до рассмотрения жалобы по существу ИП Кравченко А.В. заявлены письменные ходатайства (вх. №23596-ЭП/25):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 xml:space="preserve">О переносе заседания на время, указанное в жалобе </w:t>
      </w:r>
      <w:r>
        <w:rPr>
          <w:rStyle w:val="CharStyle13"/>
          <w:lang w:val="en-US" w:eastAsia="en-US"/>
        </w:rPr>
        <w:t xml:space="preserve">— </w:t>
      </w:r>
      <w:r>
        <w:rPr>
          <w:rStyle w:val="CharStyle13"/>
        </w:rPr>
        <w:t xml:space="preserve">начало с </w:t>
      </w:r>
      <w:r>
        <w:rPr>
          <w:rStyle w:val="CharStyle13"/>
          <w:lang w:val="en-US" w:eastAsia="en-US"/>
        </w:rPr>
        <w:t xml:space="preserve">14:00 </w:t>
      </w:r>
      <w:r>
        <w:rPr>
          <w:rStyle w:val="CharStyle13"/>
        </w:rPr>
        <w:t xml:space="preserve">до </w:t>
      </w:r>
      <w:r>
        <w:rPr>
          <w:rStyle w:val="CharStyle13"/>
          <w:lang w:val="en-US" w:eastAsia="en-US"/>
        </w:rPr>
        <w:t xml:space="preserve">15:00 </w:t>
      </w:r>
      <w:r>
        <w:rPr>
          <w:rStyle w:val="CharStyle13"/>
        </w:rPr>
        <w:t>по Московскому времени.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8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>О проведении заседания Комиссии посредством видеоконференцсвязи.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8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>О предоставлении документов от всех участников заседания.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>В удовлетворении требований, изложенных в названных выше письменном ходатайствах, было отказано исходя из следующего: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9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>Время рассмотрения дел Комиссия Нижегородского УФАС России определяет самостоятельно в зависимости от загруженности членов комиссии Нижегородского УФАС России. Кроме того, заявитель жалобы не лишен права направить в Нижегородского УФАС России своего представителя, однако этого не сделал, что также не может служить препятствием для рассмотрения дела в его отсутствие.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 xml:space="preserve">Таким образом, ходатайство о переносе заседания на время, указанное в жалобе </w:t>
      </w:r>
      <w:r>
        <w:rPr>
          <w:rStyle w:val="CharStyle13"/>
          <w:lang w:val="en-US" w:eastAsia="en-US"/>
        </w:rPr>
        <w:t xml:space="preserve">— </w:t>
      </w:r>
      <w:r>
        <w:rPr>
          <w:rStyle w:val="CharStyle13"/>
        </w:rPr>
        <w:t xml:space="preserve">начало с </w:t>
      </w:r>
      <w:r>
        <w:rPr>
          <w:rStyle w:val="CharStyle13"/>
          <w:lang w:val="en-US" w:eastAsia="en-US"/>
        </w:rPr>
        <w:t xml:space="preserve">14:00 </w:t>
      </w:r>
      <w:r>
        <w:rPr>
          <w:rStyle w:val="CharStyle13"/>
        </w:rPr>
        <w:t xml:space="preserve">до </w:t>
      </w:r>
      <w:r>
        <w:rPr>
          <w:rStyle w:val="CharStyle13"/>
          <w:lang w:val="en-US" w:eastAsia="en-US"/>
        </w:rPr>
        <w:t xml:space="preserve">15:00 </w:t>
      </w:r>
      <w:r>
        <w:rPr>
          <w:rStyle w:val="CharStyle13"/>
        </w:rPr>
        <w:t>по Московскому времени оставлено без удовлетворения.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9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 xml:space="preserve">Согласно 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>Закона о контрактной системе лица, имеющие право действовать от имени участника закупки, подавшего жалобу, от имени субъекта (субъектов) контроля, действия (бездействие) которого (которых) обжалуются, вправе участвовать в рассмотрении жалобы по существу, в том числе с использованием систем видео-конференц-связи при наличии в контрольном органе в сфере закупок технической возможности осуществления видео-конференцсвязи. Исходя из вышеизложенного в случае отсутствия технической возможности рассмотрения жалобы с использованием систем видео-конференц-связи жалоба рассматривается в очном формате.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 xml:space="preserve">Таким образом, ходатайство о проведении рассмотрения жалобы посредством ВКС оставлено без удовлетворения ввиду отсутствия технической возможности проведения заседания Комиссии Нижегородского УФАС </w:t>
      </w:r>
      <w:r>
        <w:rPr>
          <w:rStyle w:val="CharStyle13"/>
          <w:lang w:val="en-US" w:eastAsia="en-US"/>
        </w:rPr>
        <w:t xml:space="preserve">29.08.2025 </w:t>
      </w:r>
      <w:r>
        <w:rPr>
          <w:rStyle w:val="CharStyle13"/>
        </w:rPr>
        <w:t>посредством ВКС.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9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>Комиссия Нижегородского УФАС России указывает, что законодательство Российской Федерации о контрактной системе в сфере закупок не возлагает обязанности на субъекты контроля во время рассмотрения жалобы по существу по направлению информации и документов в адрес подателя жалобы.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>Таким образом, ходатайство о предоставлении документов от всех участников заседания оставлено без удовлетворения.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rStyle w:val="CharStyle13"/>
        </w:rPr>
        <w:t>Представители заказчика на заседании Комиссии Нижегородского УФАС России с доводами, изложенными в жалобе заявителя, не согласились, факт нарушений требований Закона о контрактной системе не признали, считают жалобу заявителя необоснованной, а требования, изложенные в ней, не подлежащими удовлетворению.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 xml:space="preserve">Комиссия Управления Федеральной антимонопольной службы по Нижегородской области по контролю в сфере закупок, выслушав доводы сторон,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>Закона о контрактной системе, пришла к следующим выводам.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lang w:val="en-US" w:eastAsia="en-US"/>
        </w:rPr>
        <w:t xml:space="preserve">18.08.2025 </w:t>
      </w:r>
      <w:r>
        <w:rPr>
          <w:rStyle w:val="CharStyle13"/>
        </w:rPr>
        <w:t xml:space="preserve">в единой информационной системе и на сайте электронной площадки -«Фабрикант»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размещено извещение о проведении электронного аукциона.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Начальная (максимальная) цена контракта </w:t>
      </w:r>
      <w:r>
        <w:rPr>
          <w:rStyle w:val="CharStyle13"/>
          <w:lang w:val="en-US" w:eastAsia="en-US"/>
        </w:rPr>
        <w:t xml:space="preserve">– 10 000 000,00 </w:t>
      </w:r>
      <w:r>
        <w:rPr>
          <w:rStyle w:val="CharStyle13"/>
        </w:rPr>
        <w:t>рублей.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По мнению заявителя, Заказчиком не верно сформировано описание объекта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Согласно 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N </w:t>
      </w:r>
      <w:r>
        <w:rPr>
          <w:rStyle w:val="CharStyle13"/>
        </w:rPr>
        <w:t xml:space="preserve">44-ФЗ "О контрактной системе в сфере закупок товаров, работ, услуг для обеспечения государственных и муниципальных нужд"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Закон о контрактной системе) данный Закон регулирует 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rStyle w:val="CharStyle13"/>
        </w:rPr>
        <w:t xml:space="preserve">В силу статьи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>Закона о контрактной системе контрактная система в сфере закупок основывается на принципах открытости, прозрачности информации о контрактной системе в сфере закупок, обеспечения конкуренции, профессионализма заказчиков, стимулирования инноваций, единства контрактной системы в сфере закупок, ответственности за результативность обеспечения государственных и муниципальных нужд, эффективности осуществления закупок.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Частью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>Закона о контрактной системе установлено, что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>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 Запрещается совершение заказчиками любых действий, которые противоречат требованиям названного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 предусмотрено,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силу 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>названной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Часть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>Закона о контрактной системе установила, что извещение об осуществлении закупки, если иное не предусмотрено Законом о контрактной системе, должно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 xml:space="preserve">содержать, в том числе электронный документ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описание объекта закупки в соответствии со статьей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Заявитель жалобы указывает, что Заказчиком не установлено ограничение по постановлению Правительства РФ от </w:t>
      </w:r>
      <w:r>
        <w:rPr>
          <w:rStyle w:val="CharStyle13"/>
          <w:lang w:val="en-US" w:eastAsia="en-US"/>
        </w:rPr>
        <w:t xml:space="preserve">10.07.2019 №878 </w:t>
      </w:r>
      <w:r>
        <w:rPr>
          <w:rStyle w:val="CharStyle13"/>
        </w:rPr>
        <w:t xml:space="preserve">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</w:t>
      </w:r>
      <w:r>
        <w:rPr>
          <w:rStyle w:val="CharStyle13"/>
          <w:lang w:val="en-US" w:eastAsia="en-US"/>
        </w:rPr>
        <w:t xml:space="preserve">16 </w:t>
      </w:r>
      <w:r>
        <w:rPr>
          <w:rStyle w:val="CharStyle13"/>
        </w:rPr>
        <w:t xml:space="preserve">сентября </w:t>
      </w:r>
      <w:r>
        <w:rPr>
          <w:rStyle w:val="CharStyle13"/>
          <w:lang w:val="en-US" w:eastAsia="en-US"/>
        </w:rPr>
        <w:t xml:space="preserve">2016 </w:t>
      </w:r>
      <w:r>
        <w:rPr>
          <w:rStyle w:val="CharStyle13"/>
        </w:rPr>
        <w:t xml:space="preserve">г. </w:t>
      </w:r>
      <w:r>
        <w:rPr>
          <w:rStyle w:val="CharStyle13"/>
          <w:lang w:val="en-US" w:eastAsia="en-US"/>
        </w:rPr>
        <w:t xml:space="preserve">N 925 </w:t>
      </w:r>
      <w:r>
        <w:rPr>
          <w:rStyle w:val="CharStyle13"/>
        </w:rPr>
        <w:t xml:space="preserve">и признании утратившими силу некоторых актов Правительства Российской Федерации" и Приказа Минфина России от </w:t>
      </w:r>
      <w:r>
        <w:rPr>
          <w:rStyle w:val="CharStyle13"/>
          <w:lang w:val="en-US" w:eastAsia="en-US"/>
        </w:rPr>
        <w:t xml:space="preserve">04.06.2018 </w:t>
      </w:r>
      <w:r>
        <w:rPr>
          <w:rStyle w:val="CharStyle13"/>
        </w:rPr>
        <w:t>№126н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Комиссия Нижегородского УФАС России указывает, что приказ Минфина России от </w:t>
      </w:r>
      <w:r>
        <w:rPr>
          <w:rStyle w:val="CharStyle13"/>
          <w:lang w:val="en-US" w:eastAsia="en-US"/>
        </w:rPr>
        <w:t xml:space="preserve">04.06.2018 </w:t>
      </w:r>
      <w:r>
        <w:rPr>
          <w:rStyle w:val="CharStyle13"/>
        </w:rPr>
        <w:t xml:space="preserve">№126н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 утратил силу с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января </w:t>
      </w:r>
      <w:r>
        <w:rPr>
          <w:rStyle w:val="CharStyle13"/>
          <w:lang w:val="en-US" w:eastAsia="en-US"/>
        </w:rPr>
        <w:t xml:space="preserve">2025 </w:t>
      </w:r>
      <w:r>
        <w:rPr>
          <w:rStyle w:val="CharStyle13"/>
        </w:rPr>
        <w:t xml:space="preserve">года в связи с изданием Приказа Минфина России от </w:t>
      </w:r>
      <w:r>
        <w:rPr>
          <w:rStyle w:val="CharStyle13"/>
          <w:lang w:val="en-US" w:eastAsia="en-US"/>
        </w:rPr>
        <w:t xml:space="preserve">08.10.2024 N </w:t>
      </w:r>
      <w:r>
        <w:rPr>
          <w:rStyle w:val="CharStyle13"/>
        </w:rPr>
        <w:t>149н.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Также постановление Правительства РФ от </w:t>
      </w:r>
      <w:r>
        <w:rPr>
          <w:rStyle w:val="CharStyle13"/>
          <w:lang w:val="en-US" w:eastAsia="en-US"/>
        </w:rPr>
        <w:t xml:space="preserve">10.07.2019 №878 </w:t>
      </w:r>
      <w:r>
        <w:rPr>
          <w:rStyle w:val="CharStyle13"/>
        </w:rPr>
        <w:t xml:space="preserve">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</w:t>
      </w:r>
      <w:r>
        <w:rPr>
          <w:rStyle w:val="CharStyle13"/>
          <w:lang w:val="en-US" w:eastAsia="en-US"/>
        </w:rPr>
        <w:t xml:space="preserve">16 </w:t>
      </w:r>
      <w:r>
        <w:rPr>
          <w:rStyle w:val="CharStyle13"/>
        </w:rPr>
        <w:t xml:space="preserve">сентября </w:t>
      </w:r>
      <w:r>
        <w:rPr>
          <w:rStyle w:val="CharStyle13"/>
          <w:lang w:val="en-US" w:eastAsia="en-US"/>
        </w:rPr>
        <w:t xml:space="preserve">2016 </w:t>
      </w:r>
      <w:r>
        <w:rPr>
          <w:rStyle w:val="CharStyle13"/>
        </w:rPr>
        <w:t xml:space="preserve">г. </w:t>
      </w:r>
      <w:r>
        <w:rPr>
          <w:rStyle w:val="CharStyle13"/>
          <w:lang w:val="en-US" w:eastAsia="en-US"/>
        </w:rPr>
        <w:t xml:space="preserve">N 925 </w:t>
      </w:r>
      <w:r>
        <w:rPr>
          <w:rStyle w:val="CharStyle13"/>
        </w:rPr>
        <w:t xml:space="preserve">и признании утратившими силу некоторых актов Правительства Российской Федерации" не применяется в связи с применением постановления Правительства РФ от </w:t>
      </w:r>
      <w:r>
        <w:rPr>
          <w:rStyle w:val="CharStyle13"/>
          <w:lang w:val="en-US" w:eastAsia="en-US"/>
        </w:rPr>
        <w:t xml:space="preserve">23.12.2024 №1875 </w:t>
      </w:r>
      <w:r>
        <w:rPr>
          <w:rStyle w:val="CharStyle13"/>
        </w:rPr>
        <w:t>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color w:val="212121"/>
        </w:rPr>
        <w:t>Довод жалобы признан необоснованным.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5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color w:val="212121"/>
        </w:rPr>
        <w:t xml:space="preserve">Согласно пункту </w:t>
      </w:r>
      <w:r>
        <w:rPr>
          <w:rStyle w:val="CharStyle13"/>
          <w:color w:val="212121"/>
          <w:lang w:val="en-US" w:eastAsia="en-US"/>
        </w:rPr>
        <w:t xml:space="preserve">2 </w:t>
      </w:r>
      <w:r>
        <w:rPr>
          <w:rStyle w:val="CharStyle13"/>
          <w:color w:val="212121"/>
        </w:rPr>
        <w:t xml:space="preserve">части </w:t>
      </w:r>
      <w:r>
        <w:rPr>
          <w:rStyle w:val="CharStyle13"/>
          <w:color w:val="212121"/>
          <w:lang w:val="en-US" w:eastAsia="en-US"/>
        </w:rPr>
        <w:t xml:space="preserve">4 </w:t>
      </w:r>
      <w:r>
        <w:rPr>
          <w:rStyle w:val="CharStyle13"/>
          <w:color w:val="212121"/>
        </w:rPr>
        <w:t xml:space="preserve">статьи </w:t>
      </w:r>
      <w:r>
        <w:rPr>
          <w:rStyle w:val="CharStyle13"/>
          <w:color w:val="212121"/>
          <w:lang w:val="en-US" w:eastAsia="en-US"/>
        </w:rPr>
        <w:t xml:space="preserve">14 </w:t>
      </w:r>
      <w:r>
        <w:rPr>
          <w:rStyle w:val="CharStyle13"/>
          <w:color w:val="212121"/>
        </w:rPr>
        <w:t xml:space="preserve">Закона при осуществлении закупки товара, если Правительством Российской Федерации установлено предусмотренное подпунктом «б» пункта </w:t>
      </w:r>
      <w:r>
        <w:rPr>
          <w:rStyle w:val="CharStyle13"/>
          <w:color w:val="212121"/>
          <w:lang w:val="en-US" w:eastAsia="en-US"/>
        </w:rPr>
        <w:t xml:space="preserve">1 </w:t>
      </w:r>
      <w:r>
        <w:rPr>
          <w:rStyle w:val="CharStyle13"/>
          <w:color w:val="212121"/>
        </w:rPr>
        <w:t xml:space="preserve">части </w:t>
      </w:r>
      <w:r>
        <w:rPr>
          <w:rStyle w:val="CharStyle13"/>
          <w:color w:val="212121"/>
          <w:lang w:val="en-US" w:eastAsia="en-US"/>
        </w:rPr>
        <w:t xml:space="preserve">2 </w:t>
      </w:r>
      <w:r>
        <w:rPr>
          <w:rStyle w:val="CharStyle13"/>
          <w:color w:val="212121"/>
        </w:rPr>
        <w:t>настоящей статьи ограничение закупок товара: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5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настоящим Федеральным законом,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происхождения;</w:t>
      </w:r>
    </w:p>
    <w:p>
      <w:pPr>
        <w:pStyle w:val="Style1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5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при исполнении контракта замена товара на происходящий из иностранного государства товар, в отношении которого установлено данное ограничение, если контракт предусматривает поставку товара российского происхождения, не допускается.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целях реализации данных норм Правительством Российской Федерации принято Постановление </w:t>
      </w:r>
      <w:r>
        <w:rPr>
          <w:rStyle w:val="CharStyle13"/>
          <w:lang w:val="en-US" w:eastAsia="en-US"/>
        </w:rPr>
        <w:t>№ 1875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color w:val="212121"/>
        </w:rPr>
        <w:t xml:space="preserve">Согласно Извещения объектом закупки является </w:t>
      </w:r>
      <w:r>
        <w:rPr>
          <w:rStyle w:val="CharStyle13"/>
        </w:rPr>
        <w:t xml:space="preserve">«Поставка аппарата УЗИ переносного с набором датчиков», номер извещения </w:t>
      </w:r>
      <w:r>
        <w:rPr>
          <w:rStyle w:val="CharStyle13"/>
          <w:lang w:val="en-US" w:eastAsia="en-US"/>
        </w:rPr>
        <w:t>0832200006625000857.</w:t>
      </w:r>
    </w:p>
    <w:p>
      <w:pPr>
        <w:pStyle w:val="Style1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5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В части довода Заявителя о том, что: «технические характеристики в извещении не соответствуют ни одному УЗИ аппарату Российского производства из реестра РЭП, Комиссия отмечает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Закон не обязывает Заказчика при определении характеристик поставляемого товара в Извещении и содержащихся в нем электронных документах, устанавливать характеристики, которые соответствовали бы всем существующим видам товара, а напротив из приведенных выше норм следует, что должны устанавливаться требования к характеристикам товара наиболее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отвечающие потребностям Заказчика.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пункте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«Обзора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нужд», утвержденного Президиумом Верховного Суда Российской Федерации </w:t>
      </w:r>
      <w:r>
        <w:rPr>
          <w:rStyle w:val="CharStyle13"/>
          <w:lang w:val="en-US" w:eastAsia="en-US"/>
        </w:rPr>
        <w:t xml:space="preserve">28.06.2017, </w:t>
      </w:r>
      <w:r>
        <w:rPr>
          <w:rStyle w:val="CharStyle13"/>
        </w:rPr>
        <w:t>разъяснено, что по общему правилу указание заказчиком в аукционной документации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Более того, предметом аукциона является поставка, а не производство (изготовление) товара. Поставщиком медицинских изделий может выступить любое физическое или юридическое лицо, готовое поставить продукцию, отвечающую требованиям документации и удовлетворяющее потребности Заказчика.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Отсутствие у каких-либо лиц, заинтересованных в заключении контракта, возможности поставить товар, соответствующий потребностям заказчика, не свидетельствует о нарушении заказчиком прав этих лиц, а также ограничении заказчиком числа участников торгов.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Кроме того, из пояснений Заказчика следует, что «на медицинские изделия начальная максимальная цена контракта была обоснована в соответствии с приказом Министерства здравоохранения РФ от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мая </w:t>
      </w:r>
      <w:r>
        <w:rPr>
          <w:rStyle w:val="CharStyle13"/>
          <w:lang w:val="en-US" w:eastAsia="en-US"/>
        </w:rPr>
        <w:t xml:space="preserve">2020 </w:t>
      </w:r>
      <w:r>
        <w:rPr>
          <w:rStyle w:val="CharStyle13"/>
        </w:rPr>
        <w:t xml:space="preserve">г. </w:t>
      </w:r>
      <w:r>
        <w:rPr>
          <w:rStyle w:val="CharStyle13"/>
          <w:lang w:val="en-US" w:eastAsia="en-US"/>
        </w:rPr>
        <w:t xml:space="preserve">N </w:t>
      </w:r>
      <w:r>
        <w:rPr>
          <w:rStyle w:val="CharStyle13"/>
        </w:rPr>
        <w:t xml:space="preserve">450н (пп. г) п.7 Постановления </w:t>
      </w:r>
      <w:r>
        <w:rPr>
          <w:rStyle w:val="CharStyle13"/>
          <w:lang w:val="en-US" w:eastAsia="en-US"/>
        </w:rPr>
        <w:t xml:space="preserve">№1875) </w:t>
      </w:r>
      <w:r>
        <w:rPr>
          <w:rStyle w:val="CharStyle13"/>
        </w:rPr>
        <w:t xml:space="preserve">без учета особенностей, установленных пп. в) п.7 Постановления </w:t>
      </w:r>
      <w:r>
        <w:rPr>
          <w:rStyle w:val="CharStyle13"/>
          <w:lang w:val="en-US" w:eastAsia="en-US"/>
        </w:rPr>
        <w:t xml:space="preserve">№1875, </w:t>
      </w:r>
      <w:r>
        <w:rPr>
          <w:rStyle w:val="CharStyle13"/>
        </w:rPr>
        <w:t>которыми предусмотрена обязанность направления запросов производителям российских товаров, зарегистрированным в ГИСП.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При формировании объекта закупки заказчик руководствовался, в том числе, инструкциями к медицинским изделиям, которые производятся на территории РФ. Соответственно характеристики описанного заказчиком товара соответствуют характеристикам товара российского происхождения».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Таким образом, довод Заявителя о том, что под описание объекта закупки подходит только оборудование иностранного не подкреплен документально (результаты исследований, экспертные заключения специалистов в данной области не представлены) и не находит своего подтверждения.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Вместе с тем, Заявителем не приведено доказательств, свидетельствующих, что Заказчиком при описании объекта закупки указаны характеристики оборудования, не соответствующие характеристикам оборудования (уступающие по техническим, качественным, функциональным значениям), размещенного в реестре Российской радиоэлектронной продукции.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С учетом изложенного, Комиссия Управления приходит к выводу об отсутствии в действиях Заказчика нарушений Закона. Довод Заявителя является необоснованным.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Также заявитель жалобы указывает, что закупаемый товар не соответствует двум российским производителям, нарушает положения антимонопольного законодательства.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Заказчик представил пояснения, из которых следует о соответствии закупаемого товара двум производителям (с приложением соответствующих товаров).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color w:val="212121"/>
        </w:rPr>
        <w:t>Довод жалобы признан необоснованным.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Кроме того, Комиссия отмечает, что согласно пункту </w:t>
      </w:r>
      <w:r>
        <w:rPr>
          <w:rStyle w:val="CharStyle13"/>
          <w:lang w:val="en-US" w:eastAsia="en-US"/>
        </w:rPr>
        <w:t xml:space="preserve">26 </w:t>
      </w:r>
      <w:r>
        <w:rPr>
          <w:rStyle w:val="CharStyle13"/>
        </w:rPr>
        <w:t xml:space="preserve">Перечня утративших силу актов установлено, что с </w:t>
      </w:r>
      <w:r>
        <w:rPr>
          <w:rStyle w:val="CharStyle13"/>
          <w:lang w:val="en-US" w:eastAsia="en-US"/>
        </w:rPr>
        <w:t xml:space="preserve">01.01.2025 </w:t>
      </w:r>
      <w:r>
        <w:rPr>
          <w:rStyle w:val="CharStyle13"/>
        </w:rPr>
        <w:t xml:space="preserve">Постановление Правительства Российской Федерации от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декабря </w:t>
      </w:r>
      <w:r>
        <w:rPr>
          <w:rStyle w:val="CharStyle13"/>
          <w:lang w:val="en-US" w:eastAsia="en-US"/>
        </w:rPr>
        <w:t xml:space="preserve">2020 </w:t>
      </w:r>
      <w:r>
        <w:rPr>
          <w:rStyle w:val="CharStyle13"/>
        </w:rPr>
        <w:t xml:space="preserve">г. </w:t>
      </w:r>
      <w:r>
        <w:rPr>
          <w:rStyle w:val="CharStyle13"/>
          <w:lang w:val="en-US" w:eastAsia="en-US"/>
        </w:rPr>
        <w:t xml:space="preserve">№ 2014 </w:t>
      </w:r>
      <w:r>
        <w:rPr>
          <w:rStyle w:val="CharStyle13"/>
        </w:rPr>
        <w:t xml:space="preserve">«О минимальной обязательной доле закупок российских товаров и ее достижении заказчиком» (Собрание законодательства Российской Федерации, </w:t>
      </w:r>
      <w:r>
        <w:rPr>
          <w:rStyle w:val="CharStyle13"/>
          <w:lang w:val="en-US" w:eastAsia="en-US"/>
        </w:rPr>
        <w:t xml:space="preserve">2020, № 50,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8220) </w:t>
      </w:r>
      <w:r>
        <w:rPr>
          <w:rStyle w:val="CharStyle13"/>
        </w:rPr>
        <w:t xml:space="preserve">признано утратившим силу. Также Комиссия отмечает, что выполнение Заказчиком в </w:t>
      </w:r>
      <w:r>
        <w:rPr>
          <w:rStyle w:val="CharStyle13"/>
          <w:lang w:val="en-US" w:eastAsia="en-US"/>
        </w:rPr>
        <w:t xml:space="preserve">2021, 2022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2023 </w:t>
      </w:r>
      <w:r>
        <w:rPr>
          <w:rStyle w:val="CharStyle13"/>
        </w:rPr>
        <w:t xml:space="preserve">году требований Постановления </w:t>
      </w:r>
      <w:r>
        <w:rPr>
          <w:rStyle w:val="CharStyle13"/>
          <w:lang w:val="en-US" w:eastAsia="en-US"/>
        </w:rPr>
        <w:t xml:space="preserve">№ 2014 </w:t>
      </w:r>
      <w:r>
        <w:rPr>
          <w:rStyle w:val="CharStyle13"/>
        </w:rPr>
        <w:t>не относится к вопросам, связанным с проведением рассматриваемого Аукциона.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Доказательств обоснованности данных доводов Заявителем не приведено.</w:t>
      </w:r>
    </w:p>
    <w:p>
      <w:pPr>
        <w:pStyle w:val="Style1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6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Заявитель жалобы указывает, что Заказчиком не применены положения постановления Правительства РФ от </w:t>
      </w:r>
      <w:r>
        <w:rPr>
          <w:rStyle w:val="CharStyle13"/>
          <w:lang w:val="en-US" w:eastAsia="en-US"/>
        </w:rPr>
        <w:t xml:space="preserve">16.11.2015 №1236 </w:t>
      </w:r>
      <w:r>
        <w:rPr>
          <w:rStyle w:val="CharStyle13"/>
        </w:rPr>
        <w:t>"Об утверждении Правил формирования и ведения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 xml:space="preserve">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членов Евразийского экономического союза, за исключением Российской Федерации", так как в данной закупке ПО не является предусмотренным.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Из пояснений Заказчика следуют, что «Заказчиком закупается медицинское оборудование, относящееся к коду ОКПД2 </w:t>
      </w:r>
      <w:r>
        <w:rPr>
          <w:rStyle w:val="CharStyle13"/>
          <w:lang w:val="en-US" w:eastAsia="en-US"/>
        </w:rPr>
        <w:t xml:space="preserve">26.60.12.132 </w:t>
      </w:r>
      <w:r>
        <w:rPr>
          <w:rStyle w:val="CharStyle13"/>
        </w:rPr>
        <w:t xml:space="preserve">«Система ультразвуковой визуализации универсальная, с питанием от сети», которое не входит в позицию </w:t>
      </w:r>
      <w:r>
        <w:rPr>
          <w:rStyle w:val="CharStyle13"/>
          <w:lang w:val="en-US" w:eastAsia="en-US"/>
        </w:rPr>
        <w:t xml:space="preserve">146 </w:t>
      </w:r>
      <w:r>
        <w:rPr>
          <w:rStyle w:val="CharStyle13"/>
        </w:rPr>
        <w:t xml:space="preserve">приложения </w:t>
      </w:r>
      <w:r>
        <w:rPr>
          <w:rStyle w:val="CharStyle13"/>
          <w:lang w:val="en-US" w:eastAsia="en-US"/>
        </w:rPr>
        <w:t xml:space="preserve">N 1 </w:t>
      </w:r>
      <w:r>
        <w:rPr>
          <w:rStyle w:val="CharStyle13"/>
        </w:rPr>
        <w:t xml:space="preserve">к Постановлению </w:t>
      </w:r>
      <w:r>
        <w:rPr>
          <w:rStyle w:val="CharStyle13"/>
          <w:lang w:val="en-US" w:eastAsia="en-US"/>
        </w:rPr>
        <w:t xml:space="preserve">№ 1875, </w:t>
      </w:r>
      <w:r>
        <w:rPr>
          <w:rStyle w:val="CharStyle13"/>
        </w:rPr>
        <w:t xml:space="preserve">поставка самостоятельного программного обеспечения, в том числе </w:t>
      </w:r>
      <w:r>
        <w:rPr>
          <w:rStyle w:val="CharStyle13"/>
          <w:lang w:val="en-US" w:eastAsia="en-US"/>
        </w:rPr>
        <w:t xml:space="preserve">DICOM, </w:t>
      </w:r>
      <w:r>
        <w:rPr>
          <w:rStyle w:val="CharStyle13"/>
        </w:rPr>
        <w:t>в рамках исполнения контракта не предусмотрена, требования о ее наличии в описании объекта закупки не установлены.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Постановлением </w:t>
      </w:r>
      <w:r>
        <w:rPr>
          <w:rStyle w:val="CharStyle13"/>
          <w:lang w:val="en-US" w:eastAsia="en-US"/>
        </w:rPr>
        <w:t xml:space="preserve">№1875 </w:t>
      </w:r>
      <w:r>
        <w:rPr>
          <w:rStyle w:val="CharStyle13"/>
        </w:rPr>
        <w:t>не регламентированы случаи применения запрета допуска при закупках оборудования с предустановленным программным обеспечением (встроенным программным обеспечением), без которого применение данного оборудования невозможно.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Всё программное обеспечение для ультразвуковых систем является специализированным, которое может быть установлено только производителем только на ультразвуковых системах. Программное обеспечение для ультразвуковых систем не находится в свободном гражданском обороте».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Комиссия Нижегородского УФАС России отмечает следующее в соответствии с Приказом Министерства цифрового развития, связи и массовых коммуникаций РФ от </w:t>
      </w:r>
      <w:r>
        <w:rPr>
          <w:rStyle w:val="CharStyle13"/>
          <w:lang w:val="en-US" w:eastAsia="en-US"/>
        </w:rPr>
        <w:t xml:space="preserve">22.09.2020 № 486 </w:t>
      </w:r>
      <w:r>
        <w:rPr>
          <w:rStyle w:val="CharStyle13"/>
        </w:rPr>
        <w:t>«Об утверждении классификатора программ для электронных вычислительных машин и баз данных» утвержден классификатор программ для электронных вычислительных машин и баз данных, в перечне отсутствует Код (числовое обозначение) Общероссийского классификатора продукции по видам экономической деятельности.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В структурированной форме Извещения приведено наименование товара с характеристиками (Система ультразвуковой визуализации универсальная, с питанием от сети).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Таким образом, предметом закупки в данной ситуации является оборудование, а не программное обеспечение, как указано в доводе жалобы. Программы, которые могут поставляться с оборудованием являются встроенными микропрограммами, необходимыми для функционирования закупаемого оборудования.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lang w:val="en-US" w:eastAsia="en-US"/>
        </w:rPr>
        <w:t xml:space="preserve">DICOM (Digital Imaging and Communications in Medicine) — </w:t>
      </w:r>
      <w:r>
        <w:rPr>
          <w:rStyle w:val="CharStyle13"/>
        </w:rPr>
        <w:t>это медицинский отраслевой стандарт создания, хранения, передачи и визуализации цифровых медицинских изображений и документов обследованных пациентов (т.е. протокол передачи данных, а не программа).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Данная позиция подтверждается письмом ФАС России от </w:t>
      </w:r>
      <w:r>
        <w:rPr>
          <w:rStyle w:val="CharStyle13"/>
          <w:lang w:val="en-US" w:eastAsia="en-US"/>
        </w:rPr>
        <w:t xml:space="preserve">30.12.2022 N </w:t>
      </w:r>
      <w:r>
        <w:rPr>
          <w:rStyle w:val="CharStyle13"/>
        </w:rPr>
        <w:t xml:space="preserve">ПИ/118987/22 и письмом Министерства цифрового развития, связи и массовых коммуникаций РФ от </w:t>
      </w:r>
      <w:r>
        <w:rPr>
          <w:rStyle w:val="CharStyle13"/>
          <w:lang w:val="en-US" w:eastAsia="en-US"/>
        </w:rPr>
        <w:t xml:space="preserve">15.12.2022 N </w:t>
      </w:r>
      <w:r>
        <w:rPr>
          <w:rStyle w:val="CharStyle13"/>
        </w:rPr>
        <w:t>П11-2-05-106-94501 "О рассмотрении обращения".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color w:val="212121"/>
        </w:rPr>
        <w:t>Довод жалобы признан необоснованным.</w:t>
      </w:r>
    </w:p>
    <w:p>
      <w:pPr>
        <w:pStyle w:val="Style1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color w:val="212121"/>
        </w:rPr>
        <w:t>Заявитель жалобы также указывает, что в извещении размещенном в ЕИС не указаны контактные данные сотрудников конечного получателя и функционального заказчика ЛПУ, также отсутствуют сроки действия и окончания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Частью </w:t>
      </w:r>
      <w:r>
        <w:rPr>
          <w:rStyle w:val="CharStyle13"/>
          <w:lang w:val="en-US" w:eastAsia="en-US"/>
        </w:rPr>
        <w:t xml:space="preserve">13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34 </w:t>
      </w:r>
      <w:r>
        <w:rPr>
          <w:rStyle w:val="CharStyle13"/>
        </w:rPr>
        <w:t>Закона установлено, что в контракт включаются обязательные условия:</w:t>
      </w:r>
    </w:p>
    <w:p>
      <w:pPr>
        <w:pStyle w:val="Style1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о порядке и сроках оплаты товара, работы или услуги, в том числе с учетом положений части </w:t>
      </w:r>
      <w:r>
        <w:rPr>
          <w:rStyle w:val="CharStyle13"/>
          <w:lang w:val="en-US" w:eastAsia="en-US"/>
        </w:rPr>
        <w:t xml:space="preserve">13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37 </w:t>
      </w:r>
      <w:r>
        <w:rPr>
          <w:rStyle w:val="CharStyle13"/>
        </w:rPr>
        <w:t xml:space="preserve">настоящего Федерального закона, о порядке и сроках осуществления заказчиком приемки поставленного товара, выполненной работы (ее результатов) или оказанной услуги в части соответствия их количества, комплектности, объема требованиям, установленным контрактом, о порядке и сроках оформления результатов такой приемки, а также о порядке и сроке предоставления поставщиком (подрядчиком, исполнителем) обеспечения гарантийных обязательств в случае установления в соответствии со статьей </w:t>
      </w:r>
      <w:r>
        <w:rPr>
          <w:rStyle w:val="CharStyle13"/>
          <w:lang w:val="en-US" w:eastAsia="en-US"/>
        </w:rPr>
        <w:t xml:space="preserve">96 </w:t>
      </w:r>
      <w:r>
        <w:rPr>
          <w:rStyle w:val="CharStyle13"/>
        </w:rPr>
        <w:t xml:space="preserve">настоящего Федерального закона требования обеспечения гарантийных обязательств. В случае, предусмотренном частью </w:t>
      </w:r>
      <w:r>
        <w:rPr>
          <w:rStyle w:val="CharStyle13"/>
          <w:lang w:val="en-US" w:eastAsia="en-US"/>
        </w:rPr>
        <w:t xml:space="preserve">24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22 </w:t>
      </w:r>
      <w:r>
        <w:rPr>
          <w:rStyle w:val="CharStyle13"/>
        </w:rPr>
        <w:t>настоящего Федерального закона, контракт должен содержать условие о том, что оплата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поставленного товара, выполненной работы, оказанной услуги осуществляется по цене единицы товара, работы, услуги исходя из количества поставленного товара, объема фактически выполненной работы или оказанной услуги, но в размере, не превышающем максимального значения цены контракта. В случае, если контрактом предусмотрены его поэтапное исполнение и выплата аванса, в контракт включается условие о размере аванса в отношении каждого этапа исполнения контракта в виде процента от размера цены соответствующего этапа;</w:t>
      </w:r>
    </w:p>
    <w:p>
      <w:pPr>
        <w:pStyle w:val="Style1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об уменьшении суммы, подлежащей уплате заказчиком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color w:val="212121"/>
        </w:rPr>
        <w:t>Проанализировав Извещение и прикрепленные к нему документы Комиссией Управления установила следующее:</w:t>
      </w:r>
    </w:p>
    <w:p>
      <w:pPr>
        <w:pStyle w:val="Style1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color w:val="212121"/>
        </w:rPr>
        <w:t xml:space="preserve">1.3 Контракта содержит </w:t>
      </w:r>
      <w:r>
        <w:rPr>
          <w:rStyle w:val="CharStyle13"/>
          <w:color w:val="212121"/>
          <w:lang w:val="en-US" w:eastAsia="en-US"/>
        </w:rPr>
        <w:t xml:space="preserve">- </w:t>
      </w:r>
      <w:r>
        <w:rPr>
          <w:rStyle w:val="CharStyle13"/>
          <w:color w:val="212121"/>
        </w:rPr>
        <w:t xml:space="preserve">Поставка Оборудования осуществляется Поставщиком по адресу: г.Нижний Новгород, ул.Героя Юрия Смирнова,71 (далее </w:t>
      </w:r>
      <w:r>
        <w:rPr>
          <w:rStyle w:val="CharStyle13"/>
          <w:color w:val="212121"/>
          <w:lang w:val="en-US" w:eastAsia="en-US"/>
        </w:rPr>
        <w:t xml:space="preserve">– </w:t>
      </w:r>
      <w:r>
        <w:rPr>
          <w:rStyle w:val="CharStyle13"/>
          <w:color w:val="212121"/>
        </w:rPr>
        <w:t>Место доставки). Оказание Услуг осуществляется Поставщиком в Месте доставки.</w:t>
      </w:r>
    </w:p>
    <w:p>
      <w:pPr>
        <w:pStyle w:val="Style1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color w:val="212121"/>
          <w:lang w:val="en-US" w:eastAsia="en-US"/>
        </w:rPr>
        <w:t xml:space="preserve">5.1. </w:t>
      </w:r>
      <w:r>
        <w:rPr>
          <w:rStyle w:val="CharStyle13"/>
          <w:color w:val="212121"/>
        </w:rPr>
        <w:t xml:space="preserve">Контракта содержит </w:t>
      </w:r>
      <w:r>
        <w:rPr>
          <w:rStyle w:val="CharStyle13"/>
          <w:color w:val="212121"/>
          <w:lang w:val="en-US" w:eastAsia="en-US"/>
        </w:rPr>
        <w:t xml:space="preserve">- </w:t>
      </w:r>
      <w:r>
        <w:rPr>
          <w:rStyle w:val="CharStyle13"/>
          <w:color w:val="212121"/>
        </w:rPr>
        <w:t xml:space="preserve">Поставка Оборудования осуществляется Поставщиком в Место доставки на условиях, предусмотренных пунктом </w:t>
      </w:r>
      <w:r>
        <w:rPr>
          <w:rStyle w:val="CharStyle13"/>
          <w:color w:val="212121"/>
          <w:lang w:val="en-US" w:eastAsia="en-US"/>
        </w:rPr>
        <w:t xml:space="preserve">1.3 </w:t>
      </w:r>
      <w:r>
        <w:rPr>
          <w:rStyle w:val="CharStyle13"/>
          <w:color w:val="212121"/>
        </w:rPr>
        <w:t xml:space="preserve">Контракта. Поставщик осуществляет поставку медицинского изделия непосредственно Получателю своим транспортом в срок не позднее </w:t>
      </w:r>
      <w:r>
        <w:rPr>
          <w:rStyle w:val="CharStyle13"/>
          <w:color w:val="212121"/>
          <w:lang w:val="en-US" w:eastAsia="en-US"/>
        </w:rPr>
        <w:t xml:space="preserve">90 </w:t>
      </w:r>
      <w:r>
        <w:rPr>
          <w:rStyle w:val="CharStyle13"/>
          <w:color w:val="212121"/>
        </w:rPr>
        <w:t>дней с даты заключения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color w:val="212121"/>
        </w:rPr>
        <w:t>Довод жалобы признан необоснованным.</w:t>
      </w:r>
    </w:p>
    <w:p>
      <w:pPr>
        <w:pStyle w:val="Style12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color w:val="212121"/>
        </w:rPr>
        <w:t>Довод жалобы в части обжалования обоснования начальной (максимальной) цены контракта, признан не подлежащим рассмотрению на основании следующего: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color w:val="212121"/>
        </w:rPr>
        <w:t xml:space="preserve">В соответствии с пунктом </w:t>
      </w:r>
      <w:r>
        <w:rPr>
          <w:rStyle w:val="CharStyle13"/>
          <w:color w:val="212121"/>
          <w:lang w:val="en-US" w:eastAsia="en-US"/>
        </w:rPr>
        <w:t xml:space="preserve">3 </w:t>
      </w:r>
      <w:r>
        <w:rPr>
          <w:rStyle w:val="CharStyle13"/>
          <w:color w:val="212121"/>
        </w:rPr>
        <w:t xml:space="preserve">части </w:t>
      </w:r>
      <w:r>
        <w:rPr>
          <w:rStyle w:val="CharStyle13"/>
          <w:color w:val="212121"/>
          <w:lang w:val="en-US" w:eastAsia="en-US"/>
        </w:rPr>
        <w:t xml:space="preserve">8 </w:t>
      </w:r>
      <w:r>
        <w:rPr>
          <w:rStyle w:val="CharStyle13"/>
          <w:color w:val="212121"/>
        </w:rPr>
        <w:t xml:space="preserve">статьи </w:t>
      </w:r>
      <w:r>
        <w:rPr>
          <w:rStyle w:val="CharStyle13"/>
          <w:color w:val="212121"/>
          <w:lang w:val="en-US" w:eastAsia="en-US"/>
        </w:rPr>
        <w:t xml:space="preserve">99 </w:t>
      </w:r>
      <w:r>
        <w:rPr>
          <w:rStyle w:val="CharStyle13"/>
          <w:color w:val="212121"/>
        </w:rPr>
        <w:t>Закона о контрактной системе контроль за определением и обоснованием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 осуществляют органы внутреннего государственного (муниципального) финансового контроля.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color w:val="212121"/>
        </w:rPr>
        <w:t>В связи с тем, что контроль в отношении обоснования начальной (максимальной) цены контракта осуществляется органами внутреннего государственного (муниципального) финансового контроля, довод Заявителя Комиссией не рассматривается.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color w:val="212121"/>
        </w:rPr>
        <w:t>П</w:t>
      </w:r>
      <w:r>
        <w:rPr>
          <w:rStyle w:val="CharStyle13"/>
        </w:rPr>
        <w:t>редставитель Заявителя на заседание Комиссии не представил документы и сведения, позволяющие Комиссии прийти к выводу о нарушении прав и законных интересов Заявителя.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color w:val="212121"/>
        </w:rPr>
        <w:t>Таким образом, жалоба признана необоснованной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3"/>
          <w:color w:val="212121"/>
        </w:rPr>
        <w:t xml:space="preserve">С учетом изложенного, руководствуясь частью </w:t>
      </w:r>
      <w:r>
        <w:rPr>
          <w:rStyle w:val="CharStyle13"/>
          <w:color w:val="212121"/>
          <w:lang w:val="en-US" w:eastAsia="en-US"/>
        </w:rPr>
        <w:t xml:space="preserve">8 </w:t>
      </w:r>
      <w:r>
        <w:rPr>
          <w:rStyle w:val="CharStyle13"/>
          <w:color w:val="212121"/>
        </w:rPr>
        <w:t xml:space="preserve">статьи </w:t>
      </w:r>
      <w:r>
        <w:rPr>
          <w:rStyle w:val="CharStyle13"/>
          <w:color w:val="212121"/>
          <w:lang w:val="en-US" w:eastAsia="en-US"/>
        </w:rPr>
        <w:t xml:space="preserve">106 </w:t>
      </w:r>
      <w:r>
        <w:rPr>
          <w:rStyle w:val="CharStyle13"/>
          <w:color w:val="212121"/>
        </w:rPr>
        <w:t xml:space="preserve">Федерального закона от </w:t>
      </w:r>
      <w:r>
        <w:rPr>
          <w:rStyle w:val="CharStyle13"/>
          <w:color w:val="212121"/>
          <w:lang w:val="en-US" w:eastAsia="en-US"/>
        </w:rPr>
        <w:t xml:space="preserve">05.04.2013 </w:t>
      </w:r>
      <w:r>
        <w:rPr>
          <w:rStyle w:val="CharStyle13"/>
          <w:color w:val="212121"/>
        </w:rPr>
        <w:t>№44-ФЗ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Нижегородской области по контролю в сфере закупок,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bookmarkStart w:id="10" w:name="bookmark10"/>
      <w:r>
        <w:rPr>
          <w:rStyle w:val="CharStyle15"/>
          <w:b/>
          <w:bCs/>
          <w:color w:val="212121"/>
        </w:rPr>
        <w:t>решила:</w:t>
      </w:r>
      <w:bookmarkEnd w:id="10"/>
    </w:p>
    <w:p>
      <w:pPr>
        <w:pStyle w:val="Style1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042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rStyle w:val="CharStyle13"/>
          <w:color w:val="212121"/>
        </w:rPr>
        <w:t xml:space="preserve">Признать жалобу </w:t>
      </w:r>
      <w:r>
        <w:rPr>
          <w:rStyle w:val="CharStyle13"/>
        </w:rPr>
        <w:t xml:space="preserve">индивидуального предпринимателя Кравченко Алексея Викторовича на действия заказчика Государственное бюджетное учреждение здравоохранения Нижегородской области «Городская клиническая больница </w:t>
      </w:r>
      <w:r>
        <w:rPr>
          <w:rStyle w:val="CharStyle13"/>
          <w:lang w:val="en-US" w:eastAsia="en-US"/>
        </w:rPr>
        <w:t xml:space="preserve">№40 </w:t>
      </w:r>
      <w:r>
        <w:rPr>
          <w:rStyle w:val="CharStyle13"/>
        </w:rPr>
        <w:t xml:space="preserve">Автозаводского района г. Нижнего Новгорода» при определении поставщика путем проведения электронного аукциона на право заключения контракта по объекту закупки: «Поставка аппарата УЗИ переносного с набором датчиков», номер извещения </w:t>
      </w:r>
      <w:r>
        <w:rPr>
          <w:rStyle w:val="CharStyle13"/>
          <w:lang w:val="en-US" w:eastAsia="en-US"/>
        </w:rPr>
        <w:t xml:space="preserve">0832200006625000857 </w:t>
      </w:r>
      <w:r>
        <w:rPr>
          <w:rStyle w:val="CharStyle13"/>
          <w:color w:val="212121"/>
        </w:rPr>
        <w:t>необоснованной.</w:t>
      </w:r>
      <w:r>
        <w:br w:type="page"/>
      </w:r>
    </w:p>
    <w:p>
      <w:pPr>
        <w:pStyle w:val="Style1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color w:val="212121"/>
        </w:rPr>
        <w:t xml:space="preserve">Передать </w:t>
      </w:r>
      <w:r>
        <w:rPr>
          <w:rStyle w:val="CharStyle13"/>
        </w:rPr>
        <w:t xml:space="preserve">материалы по жалобе ИП Кравченко А.В уполномоченному должностному лицу Нижегородского УФАС России для рассмотрения в порядке, предусмотренном Федеральным законом от </w:t>
      </w:r>
      <w:r>
        <w:rPr>
          <w:rStyle w:val="CharStyle13"/>
          <w:lang w:val="en-US" w:eastAsia="en-US"/>
        </w:rPr>
        <w:t xml:space="preserve">26.07.2006 </w:t>
      </w:r>
      <w:r>
        <w:rPr>
          <w:rStyle w:val="CharStyle13"/>
        </w:rPr>
        <w:t>№135-ФЗ «О защите конкуренции».</w:t>
      </w:r>
    </w:p>
    <w:p>
      <w:pPr>
        <w:pStyle w:val="Style1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093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13"/>
          <w:color w:val="212121"/>
        </w:rPr>
        <w:t xml:space="preserve">Передать </w:t>
      </w:r>
      <w:r>
        <w:rPr>
          <w:rStyle w:val="CharStyle13"/>
        </w:rPr>
        <w:t>материалы по жалобе ИП Кравченко А.В. в орган в</w:t>
      </w:r>
      <w:r>
        <w:rPr>
          <w:rStyle w:val="CharStyle13"/>
          <w:color w:val="212121"/>
        </w:rPr>
        <w:t xml:space="preserve">нутреннего государственного (муниципального) финансового контроля </w:t>
      </w:r>
      <w:r>
        <w:rPr>
          <w:rStyle w:val="CharStyle13"/>
        </w:rPr>
        <w:t xml:space="preserve">для рассмотрения в части правомерного обоснования </w:t>
      </w:r>
      <w:r>
        <w:rPr>
          <w:rStyle w:val="CharStyle13"/>
          <w:color w:val="212121"/>
        </w:rPr>
        <w:t>начальной (максимальной) цены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720"/>
        <w:jc w:val="both"/>
      </w:pPr>
      <w:r>
        <w:rPr>
          <w:rStyle w:val="CharStyle13"/>
          <w:color w:val="212121"/>
        </w:rPr>
        <w:t xml:space="preserve">В соответствии с частью </w:t>
      </w:r>
      <w:r>
        <w:rPr>
          <w:rStyle w:val="CharStyle13"/>
          <w:color w:val="212121"/>
          <w:lang w:val="en-US" w:eastAsia="en-US"/>
        </w:rPr>
        <w:t xml:space="preserve">9 </w:t>
      </w:r>
      <w:r>
        <w:rPr>
          <w:rStyle w:val="CharStyle13"/>
          <w:color w:val="212121"/>
        </w:rPr>
        <w:t xml:space="preserve">статьи </w:t>
      </w:r>
      <w:r>
        <w:rPr>
          <w:rStyle w:val="CharStyle13"/>
          <w:color w:val="212121"/>
          <w:lang w:val="en-US" w:eastAsia="en-US"/>
        </w:rPr>
        <w:t xml:space="preserve">106 </w:t>
      </w:r>
      <w:r>
        <w:rPr>
          <w:rStyle w:val="CharStyle13"/>
          <w:color w:val="212121"/>
        </w:rPr>
        <w:t xml:space="preserve">Федерального закона от </w:t>
      </w:r>
      <w:r>
        <w:rPr>
          <w:rStyle w:val="CharStyle13"/>
          <w:color w:val="212121"/>
          <w:lang w:val="en-US" w:eastAsia="en-US"/>
        </w:rPr>
        <w:t xml:space="preserve">05.04.2013 № </w:t>
      </w:r>
      <w:r>
        <w:rPr>
          <w:rStyle w:val="CharStyle13"/>
          <w:color w:val="212121"/>
        </w:rPr>
        <w:t>44-ФЗ «О контрактной системе в сфере закупок товаров, работ, услуг для обеспечения государственных и муниципальных нужд» настоящее решение может быть обжаловано в судебном порядке в течение трех месяцев со дня его принятия.</w:t>
      </w:r>
    </w:p>
    <w:p>
      <w:pPr>
        <w:pStyle w:val="Style25"/>
        <w:keepNext/>
        <w:keepLines/>
        <w:widowControl w:val="0"/>
        <w:shd w:val="clear" w:color="auto" w:fill="auto"/>
        <w:tabs>
          <w:tab w:pos="8582" w:val="left"/>
        </w:tabs>
        <w:bidi w:val="0"/>
        <w:spacing w:before="0" w:after="380" w:line="240" w:lineRule="auto"/>
        <w:ind w:left="0" w:right="0" w:firstLine="0"/>
        <w:jc w:val="both"/>
      </w:pPr>
      <w:bookmarkStart w:id="12" w:name="bookmark12"/>
      <w:r>
        <w:rPr>
          <w:rStyle w:val="CharStyle26"/>
        </w:rPr>
        <w:t>Председатель комиссии</w:t>
        <w:tab/>
        <w:t>И.В. Баранов</w:t>
      </w:r>
      <w:bookmarkEnd w:id="12"/>
    </w:p>
    <w:p>
      <w:pPr>
        <w:pStyle w:val="Style2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6170930</wp:posOffset>
                </wp:positionH>
                <wp:positionV relativeFrom="paragraph">
                  <wp:posOffset>101600</wp:posOffset>
                </wp:positionV>
                <wp:extent cx="1045210" cy="250190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52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8"/>
                              </w:rPr>
                              <w:t>М.К.Войнова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85.90000000000003pt;margin-top:8.pt;width:82.299999999999997pt;height:19.699999999999999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8"/>
                        </w:rPr>
                        <w:t>М.К.Войнова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14" w:name="bookmark14"/>
      <w:r>
        <w:rPr>
          <w:rStyle w:val="CharStyle26"/>
        </w:rPr>
        <w:t>Члены комиссии:</w:t>
      </w:r>
      <w:bookmarkEnd w:id="14"/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7080" w:line="240" w:lineRule="auto"/>
        <w:ind w:left="0" w:right="0" w:firstLine="0"/>
        <w:jc w:val="right"/>
      </w:pPr>
      <w:bookmarkStart w:id="16" w:name="bookmark16"/>
      <w:r>
        <w:rPr>
          <w:rStyle w:val="CharStyle26"/>
        </w:rPr>
        <w:t>Ю.К.Лебедева</w:t>
      </w:r>
      <w:bookmarkEnd w:id="16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sz w:val="22"/>
          <w:szCs w:val="22"/>
        </w:rPr>
        <w:t>Исп.Войнова М.К.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both"/>
        <w:rPr>
          <w:sz w:val="22"/>
          <w:szCs w:val="22"/>
        </w:rPr>
      </w:pPr>
      <w:r>
        <w:rPr>
          <w:rStyle w:val="CharStyle13"/>
          <w:sz w:val="22"/>
          <w:szCs w:val="22"/>
        </w:rPr>
        <w:t>тел.431-73-87, вн.052-707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27" w:right="536" w:bottom="1330" w:left="110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780415</wp:posOffset>
              </wp:positionH>
              <wp:positionV relativeFrom="page">
                <wp:posOffset>10181590</wp:posOffset>
              </wp:positionV>
              <wp:extent cx="734695" cy="12192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2025-21394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1.450000000000003pt;margin-top:801.70000000000005pt;width:57.850000000000001pt;height:9.5999999999999996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2025-21394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891540</wp:posOffset>
              </wp:positionH>
              <wp:positionV relativeFrom="page">
                <wp:posOffset>10034270</wp:posOffset>
              </wp:positionV>
              <wp:extent cx="734695" cy="12192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2025-21394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70.200000000000003pt;margin-top:790.10000000000002pt;width:57.850000000000001pt;height:9.5999999999999996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2025-21394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3923030</wp:posOffset>
              </wp:positionH>
              <wp:positionV relativeFrom="page">
                <wp:posOffset>739140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8.90000000000003pt;margin-top:58.200000000000003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0"/>
      <w:numFmt w:val="decimal"/>
      <w:lvlText w:val="%1,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12121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12">
    <w:multiLevelType w:val="multilevel"/>
    <w:lvl w:ilvl="0">
      <w:start w:val="6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14">
    <w:multiLevelType w:val="multilevel"/>
    <w:lvl w:ilvl="0">
      <w:start w:val="3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12121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12121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18">
    <w:multiLevelType w:val="multilevel"/>
    <w:lvl w:ilvl="0">
      <w:start w:val="6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12121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Heading #3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8">
    <w:name w:val="Body text (3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Other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2">
    <w:name w:val="Table caption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6">
    <w:name w:val="Heading #2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Heading #3"/>
    <w:basedOn w:val="Normal"/>
    <w:link w:val="CharStyle15"/>
    <w:pPr>
      <w:widowControl w:val="0"/>
      <w:shd w:val="clear" w:color="auto" w:fill="auto"/>
      <w:spacing w:after="240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7">
    <w:name w:val="Body text (3)"/>
    <w:basedOn w:val="Normal"/>
    <w:link w:val="CharStyle18"/>
    <w:pPr>
      <w:widowControl w:val="0"/>
      <w:shd w:val="clear" w:color="auto" w:fill="auto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Other"/>
    <w:basedOn w:val="Normal"/>
    <w:link w:val="CharStyle2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1">
    <w:name w:val="Table caption"/>
    <w:basedOn w:val="Normal"/>
    <w:link w:val="CharStyle2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5">
    <w:name w:val="Heading #2"/>
    <w:basedOn w:val="Normal"/>
    <w:link w:val="CharStyle26"/>
    <w:pPr>
      <w:widowControl w:val="0"/>
      <w:shd w:val="clear" w:color="auto" w:fill="auto"/>
      <w:spacing w:after="60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/Relationships>
</file>