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ИБ/18816/2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  <w:br/>
        <w:t>№052/06/105-2347/2025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Электронная площадка "РОСЭЛТОРГ" 115114, Москва,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 Кожевническая 14, стр. 5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3"/>
          <w:lang w:val="en-US" w:eastAsia="en-US"/>
        </w:rPr>
        <w:t>info@roseltorg.ru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Нижегородской области "Центр размещения заказа 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603082, город Нижний Новгород, Кремль, корпус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lang w:val="en-US" w:eastAsia="en-US"/>
        </w:rPr>
        <w:t>crzno@mail.ru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БОБРОВСКИЙ АЛЕКСАНДР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АЛЕКСЕЕВИЧ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"mailto:888000@MAIL.ru" </w:instrText>
      </w:r>
      <w:r>
        <w:fldChar w:fldCharType="separate"/>
      </w:r>
      <w:r>
        <w:rPr>
          <w:rStyle w:val="CharStyle13"/>
          <w:lang w:val="en-US" w:eastAsia="en-US"/>
        </w:rPr>
        <w:t>888000@MAIL.ru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ГКУ НО "ГУАД"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901" w:bottom="1395" w:left="1135" w:header="0" w:footer="3" w:gutter="0"/>
          <w:cols w:num="2" w:space="667"/>
          <w:noEndnote/>
          <w:rtlGutter w:val="0"/>
          <w:docGrid w:linePitch="360"/>
        </w:sectPr>
      </w:pPr>
      <w:r>
        <w:fldChar w:fldCharType="begin"/>
      </w:r>
      <w:r>
        <w:rPr/>
        <w:instrText> HYPERLINK "mailto:postguad@yandex.ru" </w:instrText>
      </w:r>
      <w:r>
        <w:fldChar w:fldCharType="separate"/>
      </w:r>
      <w:r>
        <w:rPr>
          <w:rStyle w:val="CharStyle13"/>
          <w:lang w:val="en-US" w:eastAsia="en-US"/>
        </w:rPr>
        <w:t>postguad@yandex.ru</w:t>
      </w:r>
      <w:r>
        <w:fldChar w:fldCharType="end"/>
      </w:r>
    </w:p>
    <w:p>
      <w:pPr>
        <w:widowControl w:val="0"/>
        <w:spacing w:line="217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2" w:right="0" w:bottom="13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2" w:name="bookmark12"/>
      <w:r>
        <w:rPr>
          <w:rStyle w:val="CharStyle27"/>
          <w:b/>
          <w:bCs/>
        </w:rPr>
        <w:t>РЕШЕНИЕ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center"/>
      </w:pPr>
      <w:r>
        <w:rPr>
          <w:rStyle w:val="CharStyle13"/>
          <w:b/>
          <w:bCs/>
        </w:rPr>
        <w:t>№052/06/105-2347/2025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02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14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02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97"/>
        <w:gridCol w:w="8242"/>
      </w:tblGrid>
      <w:tr>
        <w:trPr>
          <w:trHeight w:val="84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Баранова И.В.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rStyle w:val="CharStyle30"/>
              </w:rPr>
              <w:t>-председателя комиссии, заместителя руководителя Управления,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hanging="100"/>
              <w:jc w:val="left"/>
            </w:pPr>
            <w:r>
              <w:rPr>
                <w:rStyle w:val="CharStyle30"/>
              </w:rPr>
              <w:t>-члена комиссии, специалиста 1 разряда отдела контроля государственных и муниципальных закупок,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hanging="100"/>
              <w:jc w:val="left"/>
            </w:pPr>
            <w:r>
              <w:rPr>
                <w:rStyle w:val="CharStyle30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при участии посредством видео-конференц-связи:</w:t>
      </w:r>
    </w:p>
    <w:tbl>
      <w:tblPr>
        <w:tblOverlap w:val="never"/>
        <w:jc w:val="center"/>
        <w:tblLayout w:type="fixed"/>
      </w:tblPr>
      <w:tblGrid>
        <w:gridCol w:w="2131"/>
        <w:gridCol w:w="8112"/>
      </w:tblGrid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Бобровского А.А.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Поваляева М.В.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0"/>
              </w:rPr>
              <w:t>- индивидуального предпринимателя</w:t>
            </w:r>
          </w:p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hanging="100"/>
              <w:jc w:val="left"/>
            </w:pPr>
            <w:r>
              <w:rPr>
                <w:rStyle w:val="CharStyle30"/>
              </w:rPr>
              <w:t>- представителя ГКУ НО "ГУАД" по доверенности (доверенность № 02-24-88 от 27.12.2024)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Лесниковой М.В.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hanging="100"/>
              <w:jc w:val="left"/>
            </w:pPr>
            <w:r>
              <w:rPr>
                <w:rStyle w:val="CharStyle30"/>
              </w:rPr>
              <w:t>- представителя ГКУ НО "ЦРЗ" по доверенности (доверенность № 4 от 09.01.2025)</w:t>
            </w:r>
          </w:p>
        </w:tc>
      </w:tr>
      <w:tr>
        <w:trPr>
          <w:trHeight w:val="55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- Прушинской В.А.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hanging="100"/>
              <w:jc w:val="left"/>
            </w:pPr>
            <w:r>
              <w:rPr>
                <w:rStyle w:val="CharStyle30"/>
              </w:rPr>
              <w:t>- представителя ГКУ НО "ГУАД" по доверенности (доверенность № 02-24-93 от 28.12.2024)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рассмотрев посредством видео-конференц-связи жалобу индивидуального предпринимателя Бобровского Александра Алексеевича (далее также — ИП Бобровский А.А., индивидуальный предприниматель, заявитель) о нарушении Государственным казённым учреждением Нижегородской области «Главное управление автомобильных дорог» (далее также — ГКУ НО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298575" cy="4146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 xml:space="preserve">"ГУАД", заказчик) при определении поставщика путем проведения электронного аукциона на право заключения контракта по объекту закупки: «Установка и замена дорожных знаков в муниципальном округе Семеновский Нижегородской области», номер извещения </w:t>
      </w:r>
      <w:r>
        <w:rPr>
          <w:rStyle w:val="CharStyle13"/>
          <w:lang w:val="en-US" w:eastAsia="en-US"/>
        </w:rPr>
        <w:t>0832200006625000859,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закупки: «Установка и замена дорожных знаков в муниципальном округе Семеновский Нижегородской области», номер извещения </w:t>
      </w:r>
      <w:r>
        <w:rPr>
          <w:rStyle w:val="CharStyle13"/>
          <w:lang w:val="en-US" w:eastAsia="en-US"/>
        </w:rPr>
        <w:t xml:space="preserve">0832200006625000859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электронный аукцион).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сторон,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lang w:val="en-US" w:eastAsia="en-US"/>
        </w:rPr>
        <w:t xml:space="preserve">18.08.2025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РОСЭЛТОРГ (АО«ЕЭТП»)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18 064 620,00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2)Из содержания жалобы следует, что Заказчиком в Разделе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проекта Контракта установлены требования к участнику, противоречащие действующему законодательству.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Так, в Разделе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содержатся требования: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  <w:lang w:val="en-US" w:eastAsia="en-US"/>
        </w:rPr>
        <w:t xml:space="preserve">«3.1.36. </w:t>
      </w:r>
      <w:r>
        <w:rPr>
          <w:rStyle w:val="CharStyle13"/>
          <w:i/>
          <w:iCs/>
        </w:rPr>
        <w:t xml:space="preserve">Подрядчик </w:t>
      </w:r>
      <w:r>
        <w:rPr>
          <w:rStyle w:val="CharStyle13"/>
          <w:i/>
          <w:iCs/>
          <w:lang w:val="en-US" w:eastAsia="en-US"/>
        </w:rPr>
        <w:t xml:space="preserve">– </w:t>
      </w:r>
      <w:r>
        <w:rPr>
          <w:rStyle w:val="CharStyle13"/>
          <w:i/>
          <w:iCs/>
        </w:rPr>
        <w:t xml:space="preserve">юридическое лицо по Контракту, предполагающему выполнение работ на территории Нижегородской области сроком более </w:t>
      </w:r>
      <w:r>
        <w:rPr>
          <w:rStyle w:val="CharStyle13"/>
          <w:i/>
          <w:iCs/>
          <w:lang w:val="en-US" w:eastAsia="en-US"/>
        </w:rPr>
        <w:t xml:space="preserve">1 </w:t>
      </w:r>
      <w:r>
        <w:rPr>
          <w:rStyle w:val="CharStyle13"/>
          <w:i/>
          <w:iCs/>
        </w:rPr>
        <w:t xml:space="preserve">(одного) месяца, осуществляющий деятельность на территории Нижегородской области и не состоящий на учете в Управлении Федеральной налоговой службы по Нижегородской области, в соответствии с пунктом </w:t>
      </w:r>
      <w:r>
        <w:rPr>
          <w:rStyle w:val="CharStyle13"/>
          <w:i/>
          <w:iCs/>
          <w:lang w:val="en-US" w:eastAsia="en-US"/>
        </w:rPr>
        <w:t xml:space="preserve">2 </w:t>
      </w:r>
      <w:r>
        <w:rPr>
          <w:rStyle w:val="CharStyle13"/>
          <w:i/>
          <w:iCs/>
        </w:rPr>
        <w:t xml:space="preserve">Поручения Губернатора Нижегородской области от </w:t>
      </w:r>
      <w:r>
        <w:rPr>
          <w:rStyle w:val="CharStyle13"/>
          <w:i/>
          <w:iCs/>
          <w:lang w:val="en-US" w:eastAsia="en-US"/>
        </w:rPr>
        <w:t xml:space="preserve">20.01.2025 № </w:t>
      </w:r>
      <w:r>
        <w:rPr>
          <w:rStyle w:val="CharStyle13"/>
          <w:i/>
          <w:iCs/>
        </w:rPr>
        <w:t xml:space="preserve">Сл-001-44315/25 обязан зарегистрировать своё обособленное подразделение или перевести место регистрации своей головной организации по месту их фактической деятельности </w:t>
      </w:r>
      <w:r>
        <w:rPr>
          <w:rStyle w:val="CharStyle13"/>
          <w:i/>
          <w:iCs/>
          <w:lang w:val="en-US" w:eastAsia="en-US"/>
        </w:rPr>
        <w:t xml:space="preserve">– </w:t>
      </w:r>
      <w:r>
        <w:rPr>
          <w:rStyle w:val="CharStyle13"/>
          <w:i/>
          <w:iCs/>
        </w:rPr>
        <w:t xml:space="preserve">на территории Нижегородской области в соответствии со статьями </w:t>
      </w:r>
      <w:r>
        <w:rPr>
          <w:rStyle w:val="CharStyle13"/>
          <w:i/>
          <w:iCs/>
          <w:lang w:val="en-US" w:eastAsia="en-US"/>
        </w:rPr>
        <w:t xml:space="preserve">11 </w:t>
      </w:r>
      <w:r>
        <w:rPr>
          <w:rStyle w:val="CharStyle13"/>
          <w:i/>
          <w:iCs/>
        </w:rPr>
        <w:t xml:space="preserve">и </w:t>
      </w:r>
      <w:r>
        <w:rPr>
          <w:rStyle w:val="CharStyle13"/>
          <w:i/>
          <w:iCs/>
          <w:lang w:val="en-US" w:eastAsia="en-US"/>
        </w:rPr>
        <w:t xml:space="preserve">83 </w:t>
      </w:r>
      <w:r>
        <w:rPr>
          <w:rStyle w:val="CharStyle13"/>
          <w:i/>
          <w:iCs/>
        </w:rPr>
        <w:t xml:space="preserve">Налогового кодекса Российской Федерации и уведомить Заказчика о данном факте в течение </w:t>
      </w:r>
      <w:r>
        <w:rPr>
          <w:rStyle w:val="CharStyle13"/>
          <w:i/>
          <w:iCs/>
          <w:lang w:val="en-US" w:eastAsia="en-US"/>
        </w:rPr>
        <w:t xml:space="preserve">10 </w:t>
      </w:r>
      <w:r>
        <w:rPr>
          <w:rStyle w:val="CharStyle13"/>
          <w:i/>
          <w:iCs/>
        </w:rPr>
        <w:t>(десяти) календарных дней с даты регистрации;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  <w:lang w:val="en-US" w:eastAsia="en-US"/>
        </w:rPr>
        <w:t xml:space="preserve">3.1.37. </w:t>
      </w:r>
      <w:r>
        <w:rPr>
          <w:rStyle w:val="CharStyle13"/>
          <w:i/>
          <w:iCs/>
        </w:rPr>
        <w:t xml:space="preserve">В течение </w:t>
      </w:r>
      <w:r>
        <w:rPr>
          <w:rStyle w:val="CharStyle13"/>
          <w:i/>
          <w:iCs/>
          <w:lang w:val="en-US" w:eastAsia="en-US"/>
        </w:rPr>
        <w:t xml:space="preserve">30 </w:t>
      </w:r>
      <w:r>
        <w:rPr>
          <w:rStyle w:val="CharStyle13"/>
          <w:i/>
          <w:iCs/>
        </w:rPr>
        <w:t xml:space="preserve">рабочих дней с даты заключения Контракта Подрядчик обязуется заключить партнерское соглашение с Фондом народного единства Нижегородской области в соответствии с Указом Губернатора Нижегородской области от </w:t>
      </w:r>
      <w:r>
        <w:rPr>
          <w:rStyle w:val="CharStyle13"/>
          <w:i/>
          <w:iCs/>
          <w:lang w:val="en-US" w:eastAsia="en-US"/>
        </w:rPr>
        <w:t xml:space="preserve">14.10.2024 № 194 </w:t>
      </w:r>
      <w:r>
        <w:rPr>
          <w:rStyle w:val="CharStyle13"/>
          <w:i/>
          <w:iCs/>
        </w:rPr>
        <w:t>«О Фонде содействия участникам специальной военной операции и членам их семей».</w:t>
      </w:r>
    </w:p>
    <w:p>
      <w:pPr>
        <w:pStyle w:val="Style12"/>
        <w:keepNext w:val="0"/>
        <w:keepLines w:val="0"/>
        <w:widowControl w:val="0"/>
        <w:numPr>
          <w:ilvl w:val="3"/>
          <w:numId w:val="3"/>
        </w:numPr>
        <w:shd w:val="clear" w:color="auto" w:fill="auto"/>
        <w:tabs>
          <w:tab w:pos="15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</w:rPr>
        <w:t xml:space="preserve">В течение </w:t>
      </w:r>
      <w:r>
        <w:rPr>
          <w:rStyle w:val="CharStyle13"/>
          <w:i/>
          <w:iCs/>
          <w:lang w:val="en-US" w:eastAsia="en-US"/>
        </w:rPr>
        <w:t xml:space="preserve">10 </w:t>
      </w:r>
      <w:r>
        <w:rPr>
          <w:rStyle w:val="CharStyle13"/>
          <w:i/>
          <w:iCs/>
        </w:rPr>
        <w:t>рабочих дней с даты заключения партнерского соглашения Подрядчик направляет его копию Заказчику.</w:t>
      </w:r>
    </w:p>
    <w:p>
      <w:pPr>
        <w:pStyle w:val="Style12"/>
        <w:keepNext w:val="0"/>
        <w:keepLines w:val="0"/>
        <w:widowControl w:val="0"/>
        <w:numPr>
          <w:ilvl w:val="3"/>
          <w:numId w:val="3"/>
        </w:numPr>
        <w:shd w:val="clear" w:color="auto" w:fill="auto"/>
        <w:tabs>
          <w:tab w:pos="156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</w:rPr>
        <w:t xml:space="preserve">Если в ходе исполнения Контракта Подрядчик привлекает к исполнению Контракта субподрядные организации, последние в свою очередь обязуются заключить партнерское соглашение с Фондом народного единства Нижегородской области и предоставить копию партнерского соглашения Подрядчику, а Подрядчик в свою очередь обязуется в течение </w:t>
      </w:r>
      <w:r>
        <w:rPr>
          <w:rStyle w:val="CharStyle13"/>
          <w:i/>
          <w:iCs/>
          <w:lang w:val="en-US" w:eastAsia="en-US"/>
        </w:rPr>
        <w:t xml:space="preserve">10 </w:t>
      </w:r>
      <w:r>
        <w:rPr>
          <w:rStyle w:val="CharStyle13"/>
          <w:i/>
          <w:iCs/>
        </w:rPr>
        <w:t>рабочих дней с даты его заключения предоставить копию партнерского соглашения Заказчику.»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Style w:val="CharStyle13"/>
        </w:rPr>
        <w:t>Представители заказчика не согласились с доводами заявителя жалобы, пояснив, что данные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требования установлены по Указу Губернатора Нижегородской области </w:t>
      </w:r>
      <w:r>
        <w:rPr>
          <w:rStyle w:val="CharStyle13"/>
          <w:lang w:val="en-US" w:eastAsia="en-US"/>
        </w:rPr>
        <w:t xml:space="preserve">№194 </w:t>
      </w:r>
      <w:r>
        <w:rPr>
          <w:rStyle w:val="CharStyle13"/>
        </w:rPr>
        <w:t xml:space="preserve">от 14.10.2024г. и поручению Губернатора Нижегородской области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Сл-001-44315/25 от 20.01.2025г.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Проанализировав полученные документы и сведения, Комиссия Нижегородского УФАС России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поручения Губернатора Нижегородской области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Сл-001-44315/25 от 20.01.2025г. Установлены следующие требования: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«Заказчикам в случае заключения государственного контракта, предполагающего осуществление работ на территории Нижегородской области сроком более одного месяца, с юридическим лицом, осуществляющим деятельность на территории Нижегородской области и не состоящим на учете в Управлении Федеральной налоговой службы по Нижегородской области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юридические лица), организовать работу по регистрации юридическими лицами обособленных подразделений или перевода места регистрации головных организаций по месту их фактической деятельности на территории Нижегородской области в соответствии со статьями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83 </w:t>
      </w:r>
      <w:r>
        <w:rPr>
          <w:rStyle w:val="CharStyle13"/>
        </w:rPr>
        <w:t xml:space="preserve">Налогового кодекса Российской Федерации путем направления соответствующих писем в налоговые органы. О результатах такой работы направлять информацию в министерство финансов Нижегородской области в течение </w:t>
      </w:r>
      <w:r>
        <w:rPr>
          <w:rStyle w:val="CharStyle13"/>
          <w:lang w:val="en-US" w:eastAsia="en-US"/>
        </w:rPr>
        <w:t xml:space="preserve">60 </w:t>
      </w:r>
      <w:r>
        <w:rPr>
          <w:rStyle w:val="CharStyle13"/>
        </w:rPr>
        <w:t>календарных дней со дня заключения контракта».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Нормы Налогового законодательства априори должны соблюдаться всеми подрядчиками(исполнителями). Следовательно, указание данного требования является избыточным.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Представителем Заказчика также были представлены письменные пояснения, согласно которым, данное требование не распространяется на индивидуальных предпринимателей в силу действующего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Однако данное пояснение не содержится в требованиях пункта </w:t>
      </w:r>
      <w:r>
        <w:rPr>
          <w:rStyle w:val="CharStyle13"/>
          <w:lang w:val="en-US" w:eastAsia="en-US"/>
        </w:rPr>
        <w:t xml:space="preserve">3.1.36 </w:t>
      </w:r>
      <w:r>
        <w:rPr>
          <w:rStyle w:val="CharStyle13"/>
        </w:rPr>
        <w:t>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Также согласно пункту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Указа Губернатора Нижегородской области </w:t>
      </w:r>
      <w:r>
        <w:rPr>
          <w:rStyle w:val="CharStyle13"/>
          <w:lang w:val="en-US" w:eastAsia="en-US"/>
        </w:rPr>
        <w:t xml:space="preserve">№194 </w:t>
      </w:r>
      <w:r>
        <w:rPr>
          <w:rStyle w:val="CharStyle13"/>
        </w:rPr>
        <w:t>от 14.10.2024г: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«</w:t>
      </w:r>
      <w:r>
        <w:rPr>
          <w:rStyle w:val="CharStyle13"/>
          <w:u w:val="single"/>
        </w:rPr>
        <w:t>Предложить</w:t>
      </w:r>
      <w:r>
        <w:rPr>
          <w:rStyle w:val="CharStyle13"/>
        </w:rPr>
        <w:t xml:space="preserve"> хозяйствующем субъектам всех форм собственности, включая, но не ограничиваясь хозяйствующим субъектам, осуществляющих деятельность на территориях Нижегородской области, принять участие в деятельности Фонда.»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Указа Губернатора Нижегородской области </w:t>
      </w:r>
      <w:r>
        <w:rPr>
          <w:rStyle w:val="CharStyle13"/>
          <w:lang w:val="en-US" w:eastAsia="en-US"/>
        </w:rPr>
        <w:t xml:space="preserve">№194 </w:t>
      </w:r>
      <w:r>
        <w:rPr>
          <w:rStyle w:val="CharStyle13"/>
        </w:rPr>
        <w:t>от 14.10.2024г: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«</w:t>
      </w:r>
      <w:r>
        <w:rPr>
          <w:rStyle w:val="CharStyle13"/>
          <w:u w:val="single"/>
        </w:rPr>
        <w:t>Рекомендовать</w:t>
      </w:r>
      <w:r>
        <w:rPr>
          <w:rStyle w:val="CharStyle13"/>
        </w:rPr>
        <w:t xml:space="preserve"> хозяйствующим субъектам, осуществляющим выполнение работ (услуг) по государственным контрактам Нижегородской области, обеспечить привлечение к выполнению работ и услуг и поставкам продукции, необходимой для выполнения таких контрактов, преимущественно хозяйствующих субъектов, принимающих участие в деятельности Фонда, за исключением случаев невозможности осуществления соответствующей деятельности такими хозяйствующими субъектами».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Комиссия Нижегородского УФАС России подчеркивает, что данные условия носят рекомендательный характер, и не являются обязательным к исполнению требованием.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В связи с чем жалоба признается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протокола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29.08.2025 </w:t>
      </w:r>
      <w:r>
        <w:rPr>
          <w:rStyle w:val="CharStyle13"/>
        </w:rPr>
        <w:t>№ИЭА1, а также внесения изменений в извещение,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Признать жалобу ИП Бобровский А.А. о нарушении ГКУ НО "ГУАД"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«Установка и замена дорожных знаков в муниципальном округе Семеновский Нижегородской области», номер извещения </w:t>
      </w:r>
      <w:r>
        <w:rPr>
          <w:rStyle w:val="CharStyle13"/>
          <w:lang w:val="en-US" w:eastAsia="en-US"/>
        </w:rPr>
        <w:t xml:space="preserve">0832200006625000859, </w:t>
      </w: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Признать заказчика нарушившим требования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>Выдать заказчику, аукционной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>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rStyle w:val="CharStyle13"/>
          <w:i/>
          <w:iCs/>
        </w:rPr>
        <w:t xml:space="preserve">В соответствии с частью </w:t>
      </w:r>
      <w:r>
        <w:rPr>
          <w:rStyle w:val="CharStyle13"/>
          <w:i/>
          <w:iCs/>
          <w:lang w:val="en-US" w:eastAsia="en-US"/>
        </w:rPr>
        <w:t xml:space="preserve">9 </w:t>
      </w:r>
      <w:r>
        <w:rPr>
          <w:rStyle w:val="CharStyle13"/>
          <w:i/>
          <w:iCs/>
        </w:rPr>
        <w:t xml:space="preserve">статьи </w:t>
      </w:r>
      <w:r>
        <w:rPr>
          <w:rStyle w:val="CharStyle13"/>
          <w:i/>
          <w:iCs/>
          <w:lang w:val="en-US" w:eastAsia="en-US"/>
        </w:rPr>
        <w:t xml:space="preserve">106 </w:t>
      </w:r>
      <w:r>
        <w:rPr>
          <w:rStyle w:val="CharStyle13"/>
          <w:i/>
          <w:iCs/>
        </w:rPr>
        <w:t xml:space="preserve">Федерального закона от </w:t>
      </w:r>
      <w:r>
        <w:rPr>
          <w:rStyle w:val="CharStyle13"/>
          <w:i/>
          <w:iCs/>
          <w:lang w:val="en-US" w:eastAsia="en-US"/>
        </w:rPr>
        <w:t xml:space="preserve">05.04.2013 № </w:t>
      </w:r>
      <w:r>
        <w:rPr>
          <w:rStyle w:val="CharStyle13"/>
          <w:i/>
          <w:iCs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42900" distB="2520950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342900</wp:posOffset>
                </wp:positionV>
                <wp:extent cx="182562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27.pt;width:143.75pt;height:19.900000000000002pt;z-index:-125829372;mso-wrap-distance-left:0;mso-wrap-distance-top:27.pt;mso-wrap-distance-right:0;mso-wrap-distance-bottom:198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5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3230" distB="2329180" distL="0" distR="1816735" simplePos="0" relativeHeight="125829383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443230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504190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15000000000003pt;margin-top:39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21690" distB="2197100" distL="0" distR="0" simplePos="0" relativeHeight="125829384" behindDoc="0" locked="0" layoutInCell="1" allowOverlap="1">
                <wp:simplePos x="0" y="0"/>
                <wp:positionH relativeFrom="page">
                  <wp:posOffset>3559810</wp:posOffset>
                </wp:positionH>
                <wp:positionV relativeFrom="paragraph">
                  <wp:posOffset>821690</wp:posOffset>
                </wp:positionV>
                <wp:extent cx="1283335" cy="977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30000000000001pt;margin-top:64.700000000000003pt;width:101.05pt;height:7.7000000000000002pt;z-index:-125829369;mso-wrap-distance-left:0;mso-wrap-distance-top:64.700000000000003pt;mso-wrap-distance-right:0;mso-wrap-distance-bottom:173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6630" distB="1841500" distL="0" distR="0" simplePos="0" relativeHeight="125829386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976630</wp:posOffset>
                </wp:positionV>
                <wp:extent cx="2191385" cy="2984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Кому </w:t>
                            </w:r>
                            <w:r>
                              <w:rPr>
                                <w:rStyle w:val="CharStyle22"/>
                                <w:color w:val="565656"/>
                              </w:rPr>
                              <w:t xml:space="preserve">выдан: </w:t>
                            </w:r>
                            <w:r>
                              <w:rPr>
                                <w:rStyle w:val="CharStyle22"/>
                                <w:color w:val="000000"/>
                              </w:rPr>
                              <w:t>Баранов Илья Валерьевич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2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2"/>
                                <w:lang w:val="en-US" w:eastAsia="en-US"/>
                              </w:rPr>
                              <w:t>00823DDF3459882163B2B99BFD4E606E6E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Действителен с 11.07.2024 </w:t>
                            </w:r>
                            <w:r>
                              <w:rPr>
                                <w:rStyle w:val="CharStyle22"/>
                                <w:color w:val="565656"/>
                              </w:rPr>
                              <w:t>по 04.10.2025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pt;margin-top:76.900000000000006pt;width:172.55000000000001pt;height:23.5pt;z-index:-125829367;mso-wrap-distance-left:0;mso-wrap-distance-top:76.900000000000006pt;mso-wrap-distance-right:0;mso-wrap-distance-bottom:145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Кому </w:t>
                      </w:r>
                      <w:r>
                        <w:rPr>
                          <w:rStyle w:val="CharStyle22"/>
                          <w:color w:val="565656"/>
                        </w:rPr>
                        <w:t xml:space="preserve">выдан: </w:t>
                      </w:r>
                      <w:r>
                        <w:rPr>
                          <w:rStyle w:val="CharStyle22"/>
                          <w:color w:val="000000"/>
                        </w:rPr>
                        <w:t>Баранов Илья Валерьевич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Сертификат </w:t>
                      </w:r>
                      <w:r>
                        <w:rPr>
                          <w:rStyle w:val="CharStyle22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2"/>
                          <w:lang w:val="en-US" w:eastAsia="en-US"/>
                        </w:rPr>
                        <w:t>00823DDF3459882163B2B99BFD4E606E6E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Действителен с 11.07.2024 </w:t>
                      </w:r>
                      <w:r>
                        <w:rPr>
                          <w:rStyle w:val="CharStyle22"/>
                          <w:color w:val="565656"/>
                        </w:rPr>
                        <w:t>по 04.10.2025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1210" distB="2072640" distL="0" distR="0" simplePos="0" relativeHeight="125829388" behindDoc="0" locked="0" layoutInCell="1" allowOverlap="1">
                <wp:simplePos x="0" y="0"/>
                <wp:positionH relativeFrom="page">
                  <wp:posOffset>6186805</wp:posOffset>
                </wp:positionH>
                <wp:positionV relativeFrom="paragraph">
                  <wp:posOffset>791210</wp:posOffset>
                </wp:positionV>
                <wp:extent cx="102743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rStyle w:val="CharStyle15"/>
                              </w:rPr>
                              <w:t>И.В. Баранов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15000000000003pt;margin-top:62.300000000000004pt;width:80.900000000000006pt;height:19.900000000000002pt;z-index:-125829365;mso-wrap-distance-left:0;mso-wrap-distance-top:62.300000000000004pt;mso-wrap-distance-right:0;mso-wrap-distance-bottom:163.2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rStyle w:val="CharStyle15"/>
                        </w:rPr>
                        <w:t>И.В. Баранов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16050" distB="1450340" distL="0" distR="0" simplePos="0" relativeHeight="125829390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1416050</wp:posOffset>
                </wp:positionV>
                <wp:extent cx="134429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800000000000004pt;margin-top:111.5pt;width:105.85000000000001pt;height:19.699999999999999pt;z-index:-125829363;mso-wrap-distance-left:0;mso-wrap-distance-top:111.5pt;mso-wrap-distance-right:0;mso-wrap-distance-bottom:114.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5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4165" distB="1283335" distL="0" distR="0" simplePos="0" relativeHeight="125829392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1574165</wp:posOffset>
                </wp:positionV>
                <wp:extent cx="1722120" cy="2590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15000000000003pt;margin-top:123.95pt;width:135.59999999999999pt;height:20.400000000000002pt;z-index:-125829361;mso-wrap-distance-left:0;mso-wrap-distance-top:123.95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1030" distB="1125220" distL="0" distR="0" simplePos="0" relativeHeight="125829394" behindDoc="0" locked="0" layoutInCell="1" allowOverlap="1">
                <wp:simplePos x="0" y="0"/>
                <wp:positionH relativeFrom="page">
                  <wp:posOffset>3559810</wp:posOffset>
                </wp:positionH>
                <wp:positionV relativeFrom="paragraph">
                  <wp:posOffset>1891030</wp:posOffset>
                </wp:positionV>
                <wp:extent cx="1283335" cy="1003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30000000000001pt;margin-top:148.90000000000001pt;width:101.05pt;height:7.9000000000000004pt;z-index:-125829359;mso-wrap-distance-left:0;mso-wrap-distance-top:148.90000000000001pt;mso-wrap-distance-right:0;mso-wrap-distance-bottom:88.60000000000000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36420" distB="1073150" distL="0" distR="0" simplePos="0" relativeHeight="125829396" behindDoc="0" locked="0" layoutInCell="1" allowOverlap="1">
                <wp:simplePos x="0" y="0"/>
                <wp:positionH relativeFrom="page">
                  <wp:posOffset>6171565</wp:posOffset>
                </wp:positionH>
                <wp:positionV relativeFrom="paragraph">
                  <wp:posOffset>1836420</wp:posOffset>
                </wp:positionV>
                <wp:extent cx="1045210" cy="2070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5"/>
                              </w:rPr>
                              <w:t>М.К.Войнова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5.94999999999999pt;margin-top:144.59999999999999pt;width:82.299999999999997pt;height:16.300000000000001pt;z-index:-125829357;mso-wrap-distance-left:0;mso-wrap-distance-top:144.59999999999999pt;mso-wrap-distance-right:0;mso-wrap-distance-bottom:84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5"/>
                        </w:rPr>
                        <w:t>М.К.Войнова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6605" distB="771525" distL="0" distR="0" simplePos="0" relativeHeight="125829398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2046605</wp:posOffset>
                </wp:positionV>
                <wp:extent cx="2228215" cy="2984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821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2"/>
                                <w:color w:val="000000"/>
                              </w:rPr>
                              <w:t>Войнова Мария Константиновна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2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2"/>
                                <w:lang w:val="en-US" w:eastAsia="en-US"/>
                              </w:rPr>
                              <w:t>00F91F1</w:t>
                            </w:r>
                            <w:r>
                              <w:rPr>
                                <w:rStyle w:val="CharStyle22"/>
                              </w:rPr>
                              <w:t>С83ЕВС291</w:t>
                            </w:r>
                            <w:r>
                              <w:rPr>
                                <w:rStyle w:val="CharStyle22"/>
                                <w:lang w:val="en-US" w:eastAsia="en-US"/>
                              </w:rPr>
                              <w:t>BD8EBF105EB4BA753</w:t>
                            </w:r>
                            <w:r>
                              <w:rPr>
                                <w:rStyle w:val="CharStyle22"/>
                                <w:lang w:val="en-US" w:eastAsia="en-US"/>
                              </w:rPr>
                              <w:t>Z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Действителен с 17.06.2025 </w:t>
                            </w:r>
                            <w:r>
                              <w:rPr>
                                <w:rStyle w:val="CharStyle22"/>
                                <w:color w:val="565656"/>
                              </w:rPr>
                              <w:t xml:space="preserve">по </w:t>
                            </w:r>
                            <w:r>
                              <w:rPr>
                                <w:rStyle w:val="CharStyle22"/>
                              </w:rPr>
                              <w:t>10.09.2026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5.pt;margin-top:161.15000000000001pt;width:175.45000000000002pt;height:23.5pt;z-index:-125829355;mso-wrap-distance-left:0;mso-wrap-distance-top:161.15000000000001pt;mso-wrap-distance-right:0;mso-wrap-distance-bottom:60.7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Кому выдан: </w:t>
                      </w:r>
                      <w:r>
                        <w:rPr>
                          <w:rStyle w:val="CharStyle22"/>
                          <w:color w:val="000000"/>
                        </w:rPr>
                        <w:t>Войнова Мария Константиновна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Сертификат </w:t>
                      </w:r>
                      <w:r>
                        <w:rPr>
                          <w:rStyle w:val="CharStyle22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2"/>
                          <w:lang w:val="en-US" w:eastAsia="en-US"/>
                        </w:rPr>
                        <w:t>00F91F1</w:t>
                      </w:r>
                      <w:r>
                        <w:rPr>
                          <w:rStyle w:val="CharStyle22"/>
                        </w:rPr>
                        <w:t>С83ЕВС291</w:t>
                      </w:r>
                      <w:r>
                        <w:rPr>
                          <w:rStyle w:val="CharStyle22"/>
                          <w:lang w:val="en-US" w:eastAsia="en-US"/>
                        </w:rPr>
                        <w:t>BD8EBF105EB4BA753</w:t>
                      </w:r>
                      <w:r>
                        <w:rPr>
                          <w:rStyle w:val="CharStyle22"/>
                          <w:lang w:val="en-US" w:eastAsia="en-US"/>
                        </w:rPr>
                        <w:t>Z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Действителен с 17.06.2025 </w:t>
                      </w:r>
                      <w:r>
                        <w:rPr>
                          <w:rStyle w:val="CharStyle22"/>
                          <w:color w:val="565656"/>
                        </w:rPr>
                        <w:t xml:space="preserve">по </w:t>
                      </w:r>
                      <w:r>
                        <w:rPr>
                          <w:rStyle w:val="CharStyle22"/>
                        </w:rPr>
                        <w:t>10.09.2026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86355" distB="186055" distL="0" distR="1816735" simplePos="0" relativeHeight="125829400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2586355</wp:posOffset>
            </wp:positionV>
            <wp:extent cx="298450" cy="34734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2647315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15000000000003pt;margin-top:208.45000000000002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64180" distB="54610" distL="0" distR="0" simplePos="0" relativeHeight="125829401" behindDoc="0" locked="0" layoutInCell="1" allowOverlap="1">
                <wp:simplePos x="0" y="0"/>
                <wp:positionH relativeFrom="page">
                  <wp:posOffset>3559810</wp:posOffset>
                </wp:positionH>
                <wp:positionV relativeFrom="paragraph">
                  <wp:posOffset>2964180</wp:posOffset>
                </wp:positionV>
                <wp:extent cx="1283335" cy="977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0.30000000000001pt;margin-top:233.40000000000001pt;width:101.05pt;height:7.7000000000000002pt;z-index:-125829352;mso-wrap-distance-left:0;mso-wrap-distance-top:233.40000000000001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30525" distB="0" distL="0" distR="0" simplePos="0" relativeHeight="125829403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2930525</wp:posOffset>
                </wp:positionV>
                <wp:extent cx="1033145" cy="18605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5"/>
                              </w:rPr>
                              <w:t>В.В.Смолина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86.90000000000003pt;margin-top:230.75pt;width:81.350000000000009pt;height:14.65pt;z-index:-125829350;mso-wrap-distance-left:0;mso-wrap-distance-top:230.75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5"/>
                        </w:rPr>
                        <w:t>В.В.Смолина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Смолина Виктория Викторовна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6A6D38099227BA9548AD878BAD370CD0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3820" w:right="0" w:firstLine="0"/>
        <w:jc w:val="left"/>
      </w:pPr>
      <w:r>
        <w:rPr>
          <w:rStyle w:val="CharStyle22"/>
        </w:rPr>
        <w:t xml:space="preserve">Действителен с 07.05.2025 </w:t>
      </w:r>
      <w:r>
        <w:rPr>
          <w:rStyle w:val="CharStyle22"/>
          <w:color w:val="565656"/>
        </w:rPr>
        <w:t xml:space="preserve">по </w:t>
      </w:r>
      <w:r>
        <w:rPr>
          <w:rStyle w:val="CharStyle22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Исп.Смолина В.В. тел.431-73-87, вн. 052-704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2" w:right="534" w:bottom="1355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785495</wp:posOffset>
              </wp:positionH>
              <wp:positionV relativeFrom="page">
                <wp:posOffset>10162540</wp:posOffset>
              </wp:positionV>
              <wp:extent cx="7378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850000000000001pt;margin-top:800.20000000000005pt;width:58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378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950000000000003pt;margin-top:789.89999999999998pt;width:58.100000000000001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716915</wp:posOffset>
              </wp:positionV>
              <wp:extent cx="57785" cy="673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55000000000001pt;margin-top:56.450000000000003pt;width:4.5499999999999998pt;height:5.29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3"/>
      <w:numFmt w:val="decimal"/>
      <w:lvlText w:val="%1."/>
    </w:lvl>
    <w:lvl w:ilvl="1">
      <w:start w:val="1"/>
      <w:numFmt w:val="decimal"/>
      <w:lvlText w:val="%1.%2."/>
    </w:lvl>
    <w:lvl w:ilvl="2">
      <w:start w:val="37"/>
      <w:numFmt w:val="decimal"/>
      <w:lvlText w:val="%1.%2.%3."/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3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7">
    <w:name w:val="Heading #2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Other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Table caption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3"/>
    <w:basedOn w:val="Normal"/>
    <w:link w:val="CharStyle15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6">
    <w:name w:val="Heading #2"/>
    <w:basedOn w:val="Normal"/>
    <w:link w:val="CharStyle27"/>
    <w:pPr>
      <w:widowControl w:val="0"/>
      <w:shd w:val="clear" w:color="auto" w:fill="auto"/>
      <w:spacing w:line="228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Other"/>
    <w:basedOn w:val="Normal"/>
    <w:link w:val="CharStyle3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Table caption"/>
    <w:basedOn w:val="Normal"/>
    <w:link w:val="CharStyle3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