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Ленина, 40, г. Майкоп, 385000</w:t>
        <w:br/>
        <w:t>тел.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4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11"/>
          <w:sz w:val="30"/>
          <w:szCs w:val="3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sz w:val="30"/>
          <w:szCs w:val="30"/>
        </w:rPr>
        <w:t>3.09.2025</w:t>
        <w:tab/>
      </w:r>
      <w:r>
        <w:fldChar w:fldCharType="end"/>
      </w:r>
      <w:r>
        <w:rPr>
          <w:rStyle w:val="CharStyle11"/>
          <w:sz w:val="30"/>
          <w:szCs w:val="30"/>
        </w:rPr>
        <w:t>№ АЖ/2185/25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4"/>
          <w:rFonts w:ascii="Times New Roman" w:eastAsia="Times New Roman" w:hAnsi="Times New Roman" w:cs="Times New Roman"/>
          <w:color w:val="46619A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МОНОПОЛИЕМ ПЭШ1УЕКЮРЭ</w:t>
        <w:br/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2000" w:right="0" w:firstLine="0"/>
        <w:jc w:val="left"/>
      </w:pPr>
      <w:r>
        <w:rPr>
          <w:rStyle w:val="CharStyle9"/>
          <w:b/>
          <w:bCs/>
        </w:rPr>
        <w:t>Г ъэ1орыш1ап!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462" w:right="1285" w:bottom="948" w:left="1111" w:header="0" w:footer="3" w:gutter="0"/>
          <w:pgNumType w:start="1"/>
          <w:cols w:num="2" w:space="490"/>
          <w:noEndnote/>
          <w:titlePg/>
          <w:rtlGutter w:val="0"/>
          <w:docGrid w:linePitch="360"/>
        </w:sectPr>
      </w:pPr>
      <w:r>
        <w:rPr>
          <w:rStyle w:val="CharStyle11"/>
        </w:rPr>
        <w:t xml:space="preserve">Администрация муниципального образования "Гиагинский район" </w:t>
      </w:r>
      <w:r>
        <w:rPr>
          <w:rStyle w:val="CharStyle11"/>
          <w:lang w:val="en-US" w:eastAsia="en-US"/>
        </w:rPr>
        <w:t xml:space="preserve">385600, </w:t>
      </w:r>
      <w:r>
        <w:rPr>
          <w:rStyle w:val="CharStyle11"/>
        </w:rPr>
        <w:t xml:space="preserve">Республика Адыгея, станица Гиагинская </w:t>
      </w:r>
      <w:r>
        <w:rPr>
          <w:rStyle w:val="CharStyle11"/>
          <w:lang w:val="en-US" w:eastAsia="en-US"/>
        </w:rPr>
        <w:t xml:space="preserve">, </w:t>
      </w:r>
      <w:r>
        <w:rPr>
          <w:rStyle w:val="CharStyle11"/>
        </w:rPr>
        <w:t xml:space="preserve">ул. Кооперативная, д. </w:t>
      </w:r>
      <w:r>
        <w:rPr>
          <w:rStyle w:val="CharStyle11"/>
          <w:lang w:val="en-US" w:eastAsia="en-US"/>
        </w:rPr>
        <w:t xml:space="preserve">35 </w:t>
      </w:r>
      <w:r>
        <w:fldChar w:fldCharType="begin"/>
      </w:r>
      <w:r>
        <w:rPr/>
        <w:instrText> HYPERLINK "mailto:giaginskadmin@mail.ru" </w:instrText>
      </w:r>
      <w:r>
        <w:fldChar w:fldCharType="separate"/>
      </w:r>
      <w:r>
        <w:rPr>
          <w:rStyle w:val="CharStyle11"/>
          <w:lang w:val="en-US" w:eastAsia="en-US"/>
        </w:rPr>
        <w:t>giaginskadmin@mail.ru</w:t>
      </w:r>
      <w:r>
        <w:fldChar w:fldCharType="end"/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8" w:right="0" w:bottom="8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rStyle w:val="CharStyle11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lang w:val="en-US" w:eastAsia="en-US"/>
        </w:rPr>
        <w:t>ko@sberbank-ast.ru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1"/>
        </w:rPr>
        <w:t>ИП Иванов Сергей Олегович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1"/>
        </w:rPr>
        <w:t>Красноярский край, г. Красноярск, пр.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020" w:right="0" w:firstLine="0"/>
        <w:jc w:val="left"/>
      </w:pPr>
      <w:r>
        <w:rPr>
          <w:rStyle w:val="CharStyle11"/>
        </w:rPr>
        <w:t xml:space="preserve">Металлургов, д. </w:t>
      </w:r>
      <w:r>
        <w:rPr>
          <w:rStyle w:val="CharStyle11"/>
          <w:lang w:val="en-US" w:eastAsia="en-US"/>
        </w:rPr>
        <w:t xml:space="preserve">55/38, </w:t>
      </w:r>
      <w:r>
        <w:rPr>
          <w:rStyle w:val="CharStyle11"/>
        </w:rPr>
        <w:t xml:space="preserve">кв. </w:t>
      </w:r>
      <w:r>
        <w:rPr>
          <w:rStyle w:val="CharStyle11"/>
          <w:lang w:val="en-US" w:eastAsia="en-US"/>
        </w:rPr>
        <w:t xml:space="preserve">344 </w:t>
      </w:r>
      <w:r>
        <w:fldChar w:fldCharType="begin"/>
      </w:r>
      <w:r>
        <w:rPr/>
        <w:instrText> HYPERLINK "mailto:isokrsk78@gmail.com" </w:instrText>
      </w:r>
      <w:r>
        <w:fldChar w:fldCharType="separate"/>
      </w:r>
      <w:r>
        <w:rPr>
          <w:rStyle w:val="CharStyle11"/>
          <w:lang w:val="en-US" w:eastAsia="en-US"/>
        </w:rPr>
        <w:t>isokrsk78@gmail.com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11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0"/>
        <w:jc w:val="center"/>
      </w:pP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 xml:space="preserve">№001/06/49-376/2025 </w:t>
      </w:r>
      <w:r>
        <w:rPr>
          <w:rStyle w:val="CharStyle11"/>
        </w:rPr>
        <w:t>о нарушении законодательства</w:t>
        <w:br/>
        <w:t>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213" w:val="left"/>
        </w:tabs>
        <w:bidi w:val="0"/>
        <w:spacing w:before="0" w:after="80" w:line="269" w:lineRule="auto"/>
        <w:ind w:left="0" w:right="0" w:firstLine="0"/>
        <w:jc w:val="left"/>
      </w:pPr>
      <w:r>
        <w:rPr>
          <w:rStyle w:val="CharStyle11"/>
          <w:lang w:val="en-US" w:eastAsia="en-US"/>
        </w:rPr>
        <w:t xml:space="preserve">03 </w:t>
      </w:r>
      <w:r>
        <w:rPr>
          <w:rStyle w:val="CharStyle11"/>
        </w:rPr>
        <w:t xml:space="preserve">сентября </w:t>
      </w:r>
      <w:r>
        <w:rPr>
          <w:rStyle w:val="CharStyle11"/>
          <w:lang w:val="en-US" w:eastAsia="en-US"/>
        </w:rPr>
        <w:t xml:space="preserve">2025 </w:t>
      </w:r>
      <w:r>
        <w:rPr>
          <w:rStyle w:val="CharStyle11"/>
        </w:rPr>
        <w:t>года</w:t>
        <w:tab/>
        <w:t>г. Майкоп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rStyle w:val="CharStyle11"/>
        </w:rPr>
        <w:t xml:space="preserve">Резолютивная часть оглашена: </w:t>
      </w:r>
      <w:r>
        <w:rPr>
          <w:rStyle w:val="CharStyle11"/>
          <w:lang w:val="en-US" w:eastAsia="en-US"/>
        </w:rPr>
        <w:t>02.09.2025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0"/>
        <w:jc w:val="left"/>
      </w:pPr>
      <w:r>
        <w:rPr>
          <w:rStyle w:val="CharStyle11"/>
        </w:rPr>
        <w:t xml:space="preserve">Решение в полном объеме изготовлено: </w:t>
      </w:r>
      <w:r>
        <w:rPr>
          <w:rStyle w:val="CharStyle11"/>
          <w:lang w:val="en-US" w:eastAsia="en-US"/>
        </w:rPr>
        <w:t>03.09.2025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УФАС) в составе председателя Комиссии УФАС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Жукова А.Г., заместителя руководителя Управления; членов Комиссии УФАС: Керашевой С.М., главного специалиста-эксперта отдела контроля закупок; Клюкиной Н.А., главного специалиста-эксперта отдела контроля закупок, с участием представителя Администрации муниципального образования «Гиагинский район»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Заказчик) Магалясовой Н.В. (доверенность от </w:t>
      </w:r>
      <w:r>
        <w:rPr>
          <w:rStyle w:val="CharStyle11"/>
          <w:lang w:val="en-US" w:eastAsia="en-US"/>
        </w:rPr>
        <w:t xml:space="preserve">10.01.2025), </w:t>
      </w:r>
      <w:r>
        <w:rPr>
          <w:rStyle w:val="CharStyle11"/>
        </w:rPr>
        <w:t xml:space="preserve">рассмотрев жалобу Индивидуального предпринимателя Иванова Сергея Олеговича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Заявитель; ИП Иванов С.О.) на действия Комиссии по осуществлению закупок Заказчика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Заказчика) при проведении электронного аукциона на поставку комплектующих к оргтехнике (извещение </w:t>
      </w:r>
      <w:r>
        <w:rPr>
          <w:rStyle w:val="CharStyle11"/>
          <w:lang w:val="en-US" w:eastAsia="en-US"/>
        </w:rPr>
        <w:t xml:space="preserve">№0176300005425000040)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Аукцион), проведя внеплановую проверку на основании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9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УСТАНОВИЛА: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7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Адыгейское УФАС России) </w:t>
      </w:r>
      <w:r>
        <w:rPr>
          <w:rStyle w:val="CharStyle17"/>
          <w:lang w:val="en-US" w:eastAsia="en-US"/>
        </w:rPr>
        <w:t xml:space="preserve">26.08.2025 </w:t>
      </w:r>
      <w:r>
        <w:rPr>
          <w:rStyle w:val="CharStyle17"/>
        </w:rPr>
        <w:t xml:space="preserve">поступила жалоба Заявителя, согласно которой ИП Иванов С.О. признан победителем Аукциона, однако Заказчик отказал ему в заключении контракта, сославшись на положения 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и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Закона о контрактной системе.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7"/>
        </w:rPr>
        <w:t>В своей жалобе Заявитель просит признать нарушение Закона о контрактной системе в действиях Заказчика, обязать Заказчика устранить допущенные нарушения и заключить контракт с ИП Ивановым С.О., рассмотреть вопрос о привлечении Заказчика к административной ответственности.</w:t>
      </w:r>
      <w:bookmarkEnd w:id="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17"/>
        </w:rPr>
        <w:t xml:space="preserve">Заказчик </w:t>
      </w:r>
      <w:r>
        <w:rPr>
          <w:rStyle w:val="CharStyle17"/>
          <w:lang w:val="en-US" w:eastAsia="en-US"/>
        </w:rPr>
        <w:t xml:space="preserve">01.09.2025 </w:t>
      </w:r>
      <w:r>
        <w:rPr>
          <w:rStyle w:val="CharStyle17"/>
        </w:rPr>
        <w:t>представил Возражение на жалобу Заявителя, в котором не согласился с доводом ИП Иванова С.О. и просил признать жалобу необоснованной.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Заказчиком на официальном сайте единой информационной системы в сфере закупок </w:t>
      </w:r>
      <w:r>
        <w:rPr>
          <w:rStyle w:val="CharStyle11"/>
          <w:lang w:val="en-US" w:eastAsia="en-US"/>
        </w:rPr>
        <w:t>zakupki.gov.ru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ЕИС) </w:t>
      </w:r>
      <w:r>
        <w:rPr>
          <w:rStyle w:val="CharStyle11"/>
          <w:lang w:val="en-US" w:eastAsia="en-US"/>
        </w:rPr>
        <w:t xml:space="preserve">15.08.2025 </w:t>
      </w:r>
      <w:r>
        <w:rPr>
          <w:rStyle w:val="CharStyle11"/>
        </w:rPr>
        <w:t>размещено извещение о проведении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40"/>
        <w:jc w:val="both"/>
      </w:pPr>
      <w:r>
        <w:rPr>
          <w:rStyle w:val="CharStyle11"/>
        </w:rPr>
        <w:t xml:space="preserve">Начальная (максимальная) цена контракта </w:t>
      </w:r>
      <w:r>
        <w:rPr>
          <w:rStyle w:val="CharStyle11"/>
          <w:lang w:val="en-US" w:eastAsia="en-US"/>
        </w:rPr>
        <w:t xml:space="preserve">– 108 000,00 </w:t>
      </w:r>
      <w:r>
        <w:rPr>
          <w:rStyle w:val="CharStyle11"/>
        </w:rPr>
        <w:t>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"п" пункта </w:t>
      </w:r>
      <w:r>
        <w:rPr>
          <w:rStyle w:val="CharStyle11"/>
          <w:lang w:val="en-US" w:eastAsia="en-US"/>
        </w:rPr>
        <w:t xml:space="preserve">1, </w:t>
      </w:r>
      <w:r>
        <w:rPr>
          <w:rStyle w:val="CharStyle11"/>
        </w:rPr>
        <w:t xml:space="preserve">подпунктами "а"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"в" пункта </w:t>
      </w:r>
      <w:r>
        <w:rPr>
          <w:rStyle w:val="CharStyle11"/>
          <w:lang w:val="en-US" w:eastAsia="en-US"/>
        </w:rPr>
        <w:t xml:space="preserve">2, </w:t>
      </w:r>
      <w:r>
        <w:rPr>
          <w:rStyle w:val="CharStyle11"/>
          <w:u w:val="single"/>
        </w:rPr>
        <w:t xml:space="preserve">пунктом </w:t>
      </w:r>
      <w:r>
        <w:rPr>
          <w:rStyle w:val="CharStyle11"/>
          <w:u w:val="single"/>
          <w:lang w:val="en-US" w:eastAsia="en-US"/>
        </w:rPr>
        <w:t xml:space="preserve">5 </w:t>
      </w:r>
      <w:r>
        <w:rPr>
          <w:rStyle w:val="CharStyle11"/>
          <w:u w:val="single"/>
        </w:rPr>
        <w:t xml:space="preserve">части </w:t>
      </w:r>
      <w:r>
        <w:rPr>
          <w:rStyle w:val="CharStyle11"/>
          <w:u w:val="single"/>
          <w:lang w:val="en-US" w:eastAsia="en-US"/>
        </w:rPr>
        <w:t xml:space="preserve">1 </w:t>
      </w:r>
      <w:r>
        <w:rPr>
          <w:rStyle w:val="CharStyle11"/>
          <w:u w:val="single"/>
        </w:rPr>
        <w:t xml:space="preserve">статьи </w:t>
      </w:r>
      <w:r>
        <w:rPr>
          <w:rStyle w:val="CharStyle11"/>
          <w:u w:val="single"/>
          <w:lang w:val="en-US" w:eastAsia="en-US"/>
        </w:rPr>
        <w:t>43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В соответствии с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 (в случае, если в извещении об осуществлении закупки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На основании 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иностранное лицо), равные условия с товаром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российского происхождения, работой, услугой, соответственно выполняемой оказываемой российским гражданином или российским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Правительство Российской Федерации: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вправе с учетом положений части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настоящей статьи принимать меры устанавливающие: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настоящей части.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1"/>
        </w:rPr>
        <w:t xml:space="preserve">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23.12.2024 №1875 </w:t>
      </w:r>
      <w:r>
        <w:rPr>
          <w:rStyle w:val="CharStyle11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(с изменениями и дополнениями)»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 xml:space="preserve">№1875) </w:t>
      </w:r>
      <w:r>
        <w:rPr>
          <w:rStyle w:val="CharStyle11"/>
        </w:rPr>
        <w:t xml:space="preserve">утверждено Приложение </w:t>
      </w:r>
      <w:r>
        <w:rPr>
          <w:rStyle w:val="CharStyle11"/>
          <w:lang w:val="en-US" w:eastAsia="en-US"/>
        </w:rPr>
        <w:t xml:space="preserve">№2 – </w:t>
      </w:r>
      <w:r>
        <w:rPr>
          <w:rStyle w:val="CharStyle11"/>
        </w:rPr>
        <w:t xml:space="preserve">«Перечень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</w:t>
      </w:r>
      <w:r>
        <w:rPr>
          <w:rStyle w:val="CharStyle11"/>
          <w:b/>
          <w:bCs/>
          <w:u w:val="single"/>
        </w:rPr>
        <w:t xml:space="preserve">ограничение </w:t>
      </w:r>
      <w:r>
        <w:rPr>
          <w:rStyle w:val="CharStyle11"/>
          <w:u w:val="single"/>
        </w:rPr>
        <w:t>закупок</w:t>
      </w:r>
      <w:r>
        <w:rPr>
          <w:rStyle w:val="CharStyle11"/>
        </w:rPr>
        <w:t xml:space="preserve"> для обеспечения государственных и муниципальных нужд, закупок отдельными видами юридических лиц»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Приложение </w:t>
      </w:r>
      <w:r>
        <w:rPr>
          <w:rStyle w:val="CharStyle11"/>
          <w:lang w:val="en-US" w:eastAsia="en-US"/>
        </w:rPr>
        <w:t>№2).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В соответствии с положениями Постановления </w:t>
      </w:r>
      <w:r>
        <w:rPr>
          <w:rStyle w:val="CharStyle11"/>
          <w:lang w:val="en-US" w:eastAsia="en-US"/>
        </w:rPr>
        <w:t xml:space="preserve">№1875, </w:t>
      </w:r>
      <w:r>
        <w:rPr>
          <w:rStyle w:val="CharStyle11"/>
        </w:rPr>
        <w:t>при установлении требования в виде ограничения закупок комиссия Заказчика должна отклонять все «иностранные» заявки, если есть хотя бы одна подтвержденная заявка с товаром из России или стран ЕАЭС.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Комиссией УФАС установлено, что предметом рассматриваемой закупки является: </w:t>
      </w:r>
      <w:r>
        <w:rPr>
          <w:rStyle w:val="CharStyle11"/>
          <w:b/>
          <w:bCs/>
        </w:rPr>
        <w:t>накопитель данных внутренний</w:t>
      </w:r>
      <w:r>
        <w:rPr>
          <w:rStyle w:val="CharStyle11"/>
        </w:rPr>
        <w:t xml:space="preserve">. Для описания объекта закупки Заказчик использовал код КТРУ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  <w:b/>
          <w:bCs/>
          <w:lang w:val="en-US" w:eastAsia="en-US"/>
        </w:rPr>
        <w:t xml:space="preserve">26.20.21.110-00000002 </w:t>
      </w:r>
      <w:r>
        <w:rPr>
          <w:rStyle w:val="CharStyle11"/>
        </w:rPr>
        <w:t>и соответствующие данному коду характеристики.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По используемому коду </w:t>
      </w:r>
      <w:r>
        <w:rPr>
          <w:rStyle w:val="CharStyle11"/>
          <w:lang w:val="en-US" w:eastAsia="en-US"/>
        </w:rPr>
        <w:t>(</w:t>
      </w:r>
      <w:r>
        <w:rPr>
          <w:rStyle w:val="CharStyle11"/>
          <w:b/>
          <w:bCs/>
          <w:lang w:val="en-US" w:eastAsia="en-US"/>
        </w:rPr>
        <w:t>26.20.2</w:t>
      </w:r>
      <w:r>
        <w:rPr>
          <w:rStyle w:val="CharStyle11"/>
          <w:lang w:val="en-US" w:eastAsia="en-US"/>
        </w:rPr>
        <w:t xml:space="preserve">) </w:t>
      </w:r>
      <w:r>
        <w:rPr>
          <w:rStyle w:val="CharStyle11"/>
        </w:rPr>
        <w:t xml:space="preserve">данный товар входит в Приложение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 xml:space="preserve">(позиция </w:t>
      </w:r>
      <w:r>
        <w:rPr>
          <w:rStyle w:val="CharStyle11"/>
          <w:b/>
          <w:bCs/>
          <w:lang w:val="en-US" w:eastAsia="en-US"/>
        </w:rPr>
        <w:t>203</w:t>
      </w:r>
      <w:r>
        <w:rPr>
          <w:rStyle w:val="CharStyle11"/>
          <w:lang w:val="en-US" w:eastAsia="en-US"/>
        </w:rPr>
        <w:t xml:space="preserve">), </w:t>
      </w:r>
      <w:r>
        <w:rPr>
          <w:rStyle w:val="CharStyle11"/>
        </w:rPr>
        <w:t xml:space="preserve">в связи с чем Заказчиком в Извещении установлено требование о применении национального режима в соответствии с Постановлением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>в виде ограничения закупок товаров, происходящих из иностранных государств.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 xml:space="preserve">установлено, что </w:t>
      </w:r>
      <w:r>
        <w:rPr>
          <w:rStyle w:val="CharStyle11"/>
          <w:u w:val="single"/>
        </w:rPr>
        <w:t>информацией и документами, подтверждающими страну происхождения товара</w:t>
      </w:r>
      <w:r>
        <w:rPr>
          <w:rStyle w:val="CharStyle11"/>
        </w:rPr>
        <w:t xml:space="preserve"> для целей настоящего постановления, </w:t>
      </w:r>
      <w:r>
        <w:rPr>
          <w:rStyle w:val="CharStyle11"/>
          <w:u w:val="single"/>
        </w:rPr>
        <w:t>являются</w:t>
      </w:r>
      <w:r>
        <w:rPr>
          <w:rStyle w:val="CharStyle11"/>
        </w:rPr>
        <w:t>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 xml:space="preserve">из Российской Федерации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  <w:u w:val="single"/>
        </w:rPr>
        <w:t>номер реестровой записи из реестра российской промышленной продукции</w:t>
      </w:r>
      <w:r>
        <w:rPr>
          <w:rStyle w:val="CharStyle11"/>
        </w:rPr>
        <w:t xml:space="preserve">, предусмотренного статьей </w:t>
      </w:r>
      <w:r>
        <w:rPr>
          <w:rStyle w:val="CharStyle11"/>
          <w:lang w:val="en-US" w:eastAsia="en-US"/>
        </w:rPr>
        <w:t xml:space="preserve">17.1 </w:t>
      </w:r>
      <w:r>
        <w:rPr>
          <w:rStyle w:val="CharStyle11"/>
        </w:rPr>
        <w:t>Федерального закона "О промышленной политике в Российской Федерации", содержащей в том числе: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  <w:u w:val="single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</w:t>
      </w:r>
      <w:r>
        <w:rPr>
          <w:rStyle w:val="CharStyle11"/>
        </w:rPr>
        <w:t xml:space="preserve"> (</w:t>
      </w:r>
      <w:r>
        <w:rPr>
          <w:rStyle w:val="CharStyle11"/>
          <w:u w:val="single"/>
        </w:rPr>
        <w:t xml:space="preserve">если в отношении такого товара постановлением Правительства Российской Федерации от </w:t>
      </w:r>
      <w:r>
        <w:rPr>
          <w:rStyle w:val="CharStyle11"/>
          <w:u w:val="single"/>
          <w:lang w:val="en-US" w:eastAsia="en-US"/>
        </w:rPr>
        <w:t xml:space="preserve">17 </w:t>
      </w:r>
      <w:r>
        <w:rPr>
          <w:rStyle w:val="CharStyle11"/>
          <w:u w:val="single"/>
        </w:rPr>
        <w:t xml:space="preserve">июля </w:t>
      </w:r>
      <w:r>
        <w:rPr>
          <w:rStyle w:val="CharStyle11"/>
          <w:u w:val="single"/>
          <w:lang w:val="en-US" w:eastAsia="en-US"/>
        </w:rPr>
        <w:t xml:space="preserve">2015 </w:t>
      </w:r>
      <w:r>
        <w:rPr>
          <w:rStyle w:val="CharStyle11"/>
          <w:u w:val="single"/>
        </w:rPr>
        <w:t xml:space="preserve">г. </w:t>
      </w:r>
      <w:r>
        <w:rPr>
          <w:rStyle w:val="CharStyle11"/>
          <w:u w:val="single"/>
          <w:lang w:val="en-US" w:eastAsia="en-US"/>
        </w:rPr>
        <w:t xml:space="preserve">N 719 </w:t>
      </w:r>
      <w:r>
        <w:rPr>
          <w:rStyle w:val="CharStyle11"/>
          <w:u w:val="single"/>
        </w:rPr>
        <w:t>"О подтверждении производства российской промышленной продукции"</w:t>
      </w:r>
      <w:r>
        <w:rPr>
          <w:rStyle w:val="CharStyle11"/>
        </w:rPr>
        <w:t xml:space="preserve">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 xml:space="preserve">№719) </w:t>
      </w:r>
      <w:r>
        <w:rPr>
          <w:rStyle w:val="CharStyle11"/>
          <w:u w:val="single"/>
        </w:rPr>
        <w:t>за выполнение (освоение) на территории Российской Федерации соответствующих операций (условий) установлены требования о совокупном количестве баллов</w:t>
      </w:r>
      <w:r>
        <w:rPr>
          <w:rStyle w:val="CharStyle11"/>
        </w:rPr>
        <w:t xml:space="preserve">), </w:t>
      </w:r>
      <w:r>
        <w:rPr>
          <w:rStyle w:val="CharStyle11"/>
          <w:b/>
          <w:bCs/>
          <w:u w:val="single"/>
        </w:rPr>
        <w:t xml:space="preserve">которое составляет или превышает значение </w:t>
      </w:r>
      <w:r>
        <w:rPr>
          <w:rStyle w:val="CharStyle11"/>
          <w:u w:val="single"/>
          <w:lang w:val="en-US" w:eastAsia="en-US"/>
        </w:rPr>
        <w:t xml:space="preserve">, </w:t>
      </w:r>
      <w:r>
        <w:rPr>
          <w:rStyle w:val="CharStyle11"/>
          <w:b/>
          <w:bCs/>
          <w:u w:val="single"/>
        </w:rPr>
        <w:t xml:space="preserve">определенное постановлением </w:t>
      </w:r>
      <w:r>
        <w:rPr>
          <w:rStyle w:val="CharStyle11"/>
          <w:u w:val="single"/>
        </w:rPr>
        <w:t xml:space="preserve">Правительства Российской Федерации от </w:t>
      </w:r>
      <w:r>
        <w:rPr>
          <w:rStyle w:val="CharStyle11"/>
          <w:u w:val="single"/>
          <w:lang w:val="en-US" w:eastAsia="en-US"/>
        </w:rPr>
        <w:t xml:space="preserve">17 </w:t>
      </w:r>
      <w:r>
        <w:rPr>
          <w:rStyle w:val="CharStyle11"/>
          <w:u w:val="single"/>
        </w:rPr>
        <w:t xml:space="preserve">июля </w:t>
      </w:r>
      <w:r>
        <w:rPr>
          <w:rStyle w:val="CharStyle11"/>
          <w:u w:val="single"/>
          <w:lang w:val="en-US" w:eastAsia="en-US"/>
        </w:rPr>
        <w:t xml:space="preserve">2015 </w:t>
      </w:r>
      <w:r>
        <w:rPr>
          <w:rStyle w:val="CharStyle11"/>
          <w:u w:val="single"/>
        </w:rPr>
        <w:t xml:space="preserve">г. </w:t>
      </w:r>
      <w:r>
        <w:rPr>
          <w:rStyle w:val="CharStyle11"/>
          <w:u w:val="single"/>
          <w:lang w:val="en-US" w:eastAsia="en-US"/>
        </w:rPr>
        <w:t xml:space="preserve">N 719 </w:t>
      </w:r>
      <w:r>
        <w:rPr>
          <w:rStyle w:val="CharStyle11"/>
          <w:u w:val="single"/>
        </w:rPr>
        <w:t>"О подтверждении производства российской промышленной продукции" для целей осуществления закупок</w:t>
      </w:r>
      <w:r>
        <w:rPr>
          <w:rStyle w:val="CharStyle11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719 </w:t>
      </w:r>
      <w:r>
        <w:rPr>
          <w:rStyle w:val="CharStyle11"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 xml:space="preserve">к настоящему постановлению,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евразийский реестр промышленных товаров), содержащей в том числе: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  <w:u w:val="single"/>
        </w:rPr>
        <w:t>В случае отсутствия требуемых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00"/>
        <w:jc w:val="both"/>
      </w:pPr>
      <w:r>
        <w:rPr>
          <w:rStyle w:val="CharStyle11"/>
        </w:rPr>
        <w:t xml:space="preserve">В соответствии с положениями Постановления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 xml:space="preserve">Заказчик в приложении к Извещению «Требования к содержанию, составу заявки на участие в закупке» в пункте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раздела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  <w:u w:val="single"/>
        </w:rPr>
        <w:t>установил требование о предоставлении участниками закупки информации и документов</w:t>
      </w:r>
      <w:r>
        <w:rPr>
          <w:rStyle w:val="CharStyle11"/>
        </w:rPr>
        <w:t xml:space="preserve">, определенных подпунктом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26.08.2025 </w:t>
      </w:r>
      <w:r>
        <w:rPr>
          <w:rStyle w:val="CharStyle11"/>
        </w:rPr>
        <w:t xml:space="preserve">в закупке приняли участие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>(Девять) участников.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>Комиссия УФАС запросила заявки участников рассматриваемой закупки у оператора электронной торговой площадки АО «Сбербанк-АСТ» для их изучения в рамках рассмотрения жалобы Заявителя.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2" w:right="0" w:firstLine="0"/>
        <w:jc w:val="left"/>
      </w:pPr>
      <w:r>
        <w:rPr>
          <w:rStyle w:val="CharStyle22"/>
        </w:rPr>
        <w:t>Анализ заявок представлен в таблице</w:t>
      </w:r>
    </w:p>
    <w:tbl>
      <w:tblPr>
        <w:tblOverlap w:val="never"/>
        <w:jc w:val="center"/>
        <w:tblLayout w:type="fixed"/>
      </w:tblPr>
      <w:tblGrid>
        <w:gridCol w:w="547"/>
        <w:gridCol w:w="2410"/>
        <w:gridCol w:w="1824"/>
        <w:gridCol w:w="4243"/>
        <w:gridCol w:w="1546"/>
      </w:tblGrid>
      <w:tr>
        <w:trPr>
          <w:trHeight w:val="16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4"/>
                <w:sz w:val="24"/>
                <w:szCs w:val="24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Идентификационный номер заявки участника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Страна происхождения предлагаемого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Реестровый номер из реестра российской промышленной продукции и наименование производимой промышленной продукции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Совокупное количество баллов, указанное в реестре продукции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4"/>
                <w:lang w:val="en-US" w:eastAsia="en-US"/>
              </w:rPr>
              <w:t xml:space="preserve">126 </w:t>
            </w:r>
            <w:r>
              <w:rPr>
                <w:rStyle w:val="CharStyle24"/>
              </w:rPr>
              <w:t>(Заявитель)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4"/>
                <w:lang w:val="en-US" w:eastAsia="en-US"/>
              </w:rPr>
              <w:t>223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98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4"/>
                <w:lang w:val="en-US" w:eastAsia="en-US"/>
              </w:rPr>
              <w:t>39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Народная Республика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7"/>
        <w:gridCol w:w="2410"/>
        <w:gridCol w:w="1824"/>
        <w:gridCol w:w="4243"/>
        <w:gridCol w:w="1546"/>
      </w:tblGrid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236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 xml:space="preserve">10381306 </w:t>
            </w:r>
            <w:r>
              <w:rPr>
                <w:rStyle w:val="CharStyle24"/>
              </w:rPr>
              <w:t xml:space="preserve">(Накопитель твердотельный </w:t>
            </w:r>
            <w:r>
              <w:rPr>
                <w:rStyle w:val="CharStyle24"/>
                <w:lang w:val="en-US" w:eastAsia="en-US"/>
              </w:rPr>
              <w:t xml:space="preserve">SSD 2.5" </w:t>
            </w:r>
            <w:r>
              <w:rPr>
                <w:rStyle w:val="CharStyle24"/>
              </w:rPr>
              <w:t>ЦРМП.467512.001-02)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27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173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Республика Сингапур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93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253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Китайская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154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Тайвань (Китай)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  <w:lang w:val="en-US" w:eastAsia="en-US"/>
              </w:rPr>
              <w:t>-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 xml:space="preserve">Комиссия Заказчика, рассмотрев заявки и приложенные к ним документы, отклонила всех участников закупки (в том числе и заявку </w:t>
      </w:r>
      <w:r>
        <w:rPr>
          <w:rStyle w:val="CharStyle11"/>
          <w:lang w:val="en-US" w:eastAsia="en-US"/>
        </w:rPr>
        <w:t xml:space="preserve">№126 </w:t>
      </w:r>
      <w:r>
        <w:rPr>
          <w:rStyle w:val="CharStyle11"/>
        </w:rPr>
        <w:t xml:space="preserve">ИП Иванова С.О.), представивших в заявках товар иностранного производства, в результате чего к участию в Аукционе была допущена одна заявка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с идентификационным номером </w:t>
      </w:r>
      <w:r>
        <w:rPr>
          <w:rStyle w:val="CharStyle11"/>
          <w:lang w:val="en-US" w:eastAsia="en-US"/>
        </w:rPr>
        <w:t xml:space="preserve">236, </w:t>
      </w:r>
      <w:r>
        <w:rPr>
          <w:rStyle w:val="CharStyle11"/>
        </w:rPr>
        <w:t>как предложившая к поставке товар российского производства, подтвердив это выпиской из Реестра промышленной продукции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 xml:space="preserve">При этом участник закупки указал в своей заявке информацию о совокупном количестве баллов за выполнение (освоение) на территории Российской Федерации соответствующих операций </w:t>
      </w:r>
      <w:r>
        <w:rPr>
          <w:rStyle w:val="CharStyle11"/>
          <w:lang w:val="en-US" w:eastAsia="en-US"/>
        </w:rPr>
        <w:t>– 27.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 xml:space="preserve">Между тем, Комиссия УФАС отмечает, в соответствии с Постановлением </w:t>
      </w:r>
      <w:r>
        <w:rPr>
          <w:rStyle w:val="CharStyle11"/>
          <w:lang w:val="en-US" w:eastAsia="en-US"/>
        </w:rPr>
        <w:t xml:space="preserve">№719 </w:t>
      </w:r>
      <w:r>
        <w:rPr>
          <w:rStyle w:val="CharStyle11"/>
        </w:rPr>
        <w:t xml:space="preserve">продукция с кодами </w:t>
      </w:r>
      <w:r>
        <w:rPr>
          <w:rStyle w:val="CharStyle11"/>
          <w:b/>
          <w:bCs/>
          <w:lang w:val="en-US" w:eastAsia="en-US"/>
        </w:rPr>
        <w:t xml:space="preserve">26.20.21 </w:t>
      </w:r>
      <w:r>
        <w:rPr>
          <w:rStyle w:val="CharStyle11"/>
        </w:rPr>
        <w:t xml:space="preserve">и </w:t>
      </w:r>
      <w:r>
        <w:rPr>
          <w:rStyle w:val="CharStyle11"/>
          <w:b/>
          <w:bCs/>
          <w:lang w:val="en-US" w:eastAsia="en-US"/>
        </w:rPr>
        <w:t xml:space="preserve">26.20.22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  <w:b/>
          <w:bCs/>
        </w:rPr>
        <w:t xml:space="preserve">Устройства запоминающие </w:t>
      </w:r>
      <w:r>
        <w:rPr>
          <w:rStyle w:val="CharStyle11"/>
        </w:rPr>
        <w:t xml:space="preserve">и </w:t>
      </w:r>
      <w:r>
        <w:rPr>
          <w:rStyle w:val="CharStyle11"/>
          <w:b/>
          <w:bCs/>
        </w:rPr>
        <w:t>Устройства запоминающие полупроводниковые, сохраняющие информацию при выключении питания</w:t>
      </w:r>
      <w:r>
        <w:rPr>
          <w:rStyle w:val="CharStyle11"/>
        </w:rPr>
        <w:t xml:space="preserve">,- относится к разделу </w:t>
      </w:r>
      <w:r>
        <w:rPr>
          <w:rStyle w:val="CharStyle11"/>
          <w:lang w:val="en-US" w:eastAsia="en-US"/>
        </w:rPr>
        <w:t xml:space="preserve">«IX. </w:t>
      </w:r>
      <w:r>
        <w:rPr>
          <w:rStyle w:val="CharStyle11"/>
        </w:rPr>
        <w:t>Продукция радиоэлектроники» и, в целях отнесения ее к российской промышленной продукции содержит следующие требования: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</w:rPr>
        <w:t>«</w:t>
      </w:r>
      <w:r>
        <w:rPr>
          <w:rStyle w:val="CharStyle11"/>
          <w:i/>
          <w:iCs/>
        </w:rPr>
        <w:t xml:space="preserve">выполнение обязательных требований, в совокупности предоставляющих заявителю </w:t>
      </w:r>
      <w:r>
        <w:rPr>
          <w:rStyle w:val="CharStyle11"/>
          <w:i/>
          <w:iCs/>
          <w:lang w:val="en-US" w:eastAsia="en-US"/>
        </w:rPr>
        <w:t xml:space="preserve">10 </w:t>
      </w:r>
      <w:r>
        <w:rPr>
          <w:rStyle w:val="CharStyle11"/>
          <w:i/>
          <w:iCs/>
        </w:rPr>
        <w:t>баллов: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  <w:i/>
          <w:iCs/>
        </w:rPr>
        <w:t xml:space="preserve">наличие у юридического лица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 xml:space="preserve">налогового резидента Российской Федерации, не находящегося под контролем иностранного государства, и (или) международной организации, и (или) иностранного юридического или физического лица, и (или) иностранной структуры без образования юридического лица </w:t>
      </w:r>
      <w:r>
        <w:rPr>
          <w:rStyle w:val="CharStyle11"/>
          <w:i/>
          <w:iCs/>
          <w:lang w:val="en-US" w:eastAsia="en-US"/>
        </w:rPr>
        <w:t>12(1):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  <w:i/>
          <w:iCs/>
        </w:rPr>
        <w:t xml:space="preserve">прав на конструкторскую и технологическую документацию в объеме, достаточном для проектирования, производства, модернизации и развития соответствующей продукции на территории Российской Федерации, в соответствии со спецификацией на готовое изделие в следующем составе </w:t>
      </w:r>
      <w:r>
        <w:rPr>
          <w:rStyle w:val="CharStyle11"/>
          <w:i/>
          <w:iCs/>
          <w:lang w:val="en-US" w:eastAsia="en-US"/>
        </w:rPr>
        <w:t>6: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1"/>
          <w:i/>
          <w:iCs/>
        </w:rPr>
        <w:t>технические условия;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спецификация на готовое изделие с указанием сборочных единиц и деталей;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руководство (инструкция) по эксплуатации;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схема деления изделия;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схема электрическая функциональная;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технологическая инструкция;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  <w:lang w:val="en-US" w:eastAsia="en-US"/>
        </w:rPr>
        <w:t xml:space="preserve">Gerber-файлы </w:t>
      </w:r>
      <w:r>
        <w:rPr>
          <w:rStyle w:val="CharStyle11"/>
          <w:i/>
          <w:iCs/>
        </w:rPr>
        <w:t>(трассировка печатной платы и схема расположения элементов);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ведомость материалов до уровня электронных компонентов </w:t>
      </w:r>
      <w:r>
        <w:rPr>
          <w:rStyle w:val="CharStyle11"/>
          <w:i/>
          <w:iCs/>
          <w:lang w:val="en-US" w:eastAsia="en-US"/>
        </w:rPr>
        <w:t>(Bill of Materials, BOM);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прав на микропрограммное обеспечение для схемотехнического решения в части использования, модификации, модернизации, изменения встроенной базовой системы ввода-вывода, поставляемой в составе продукции и необходимой для функционирования продукции, в том числе комплект программной документации, включающий: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комплект текстов программ (исходных кодов) и двоичных файлов- микрокодов;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руководство по компиляции и сборке встроенной базовой системы ввода- вывода в составе продукции;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исключительного права на товарный знак, служащий для индивидуализации продукции, или права использования товарного знака, правообладателем которого является юридическое лицо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 xml:space="preserve">налоговый резидент Российской Федерации, не находящийся под контролем иностранного государства, и (или) международной организации, и (или) иностранного юридического или физического лица, и (или) иностранной структуры без образования юридического лица </w:t>
      </w:r>
      <w:r>
        <w:rPr>
          <w:rStyle w:val="CharStyle11"/>
          <w:i/>
          <w:iCs/>
          <w:lang w:val="en-US" w:eastAsia="en-US"/>
        </w:rPr>
        <w:t xml:space="preserve">12(1) </w:t>
      </w:r>
      <w:r>
        <w:rPr>
          <w:rStyle w:val="CharStyle11"/>
          <w:i/>
          <w:iCs/>
        </w:rPr>
        <w:t>(при наличии товарного знака);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наличие на территории Российской Федерации сервисного центра, уполномоченного осуществлять ремонт, гарантийное и постгарантийное обслуживание продукции;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наличие научно-производственной базы (собственной или контрактной), расположенной на территории Российской Федерации и необходимой для разработки и производства продукции.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Выполнение на территории Российской Федерации следующих технологических операций (если применимо):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изготовление печатных плат электронных модулей, а также сборка и монтаж всех элементов электронной компонентной базы на печатную плату электронного модуля: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баллов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>при изготовлении печатной платы и осуществлении сборки и монтажа всех элементов электронной компонентной базы на нее;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баллов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>при осуществлении только операций сборки и монтажа всех элементов электронной компонентной базы на печатную плату;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8" w:right="363" w:bottom="856" w:left="967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  <w:i/>
          <w:iCs/>
        </w:rPr>
        <w:t xml:space="preserve">пись в энергонезависимую память микропрограммного обеспечения для схемотехнического решения </w:t>
      </w:r>
      <w:r>
        <w:rPr>
          <w:rStyle w:val="CharStyle11"/>
          <w:i/>
          <w:iCs/>
          <w:lang w:val="en-US" w:eastAsia="en-US"/>
        </w:rPr>
        <w:t xml:space="preserve">(2 </w:t>
      </w:r>
      <w:r>
        <w:rPr>
          <w:rStyle w:val="CharStyle11"/>
          <w:i/>
          <w:iCs/>
        </w:rPr>
        <w:t xml:space="preserve">балла) </w:t>
      </w:r>
      <w:r>
        <w:rPr>
          <w:rStyle w:val="CharStyle11"/>
          <w:i/>
          <w:iCs/>
          <w:lang w:val="en-US" w:eastAsia="en-US"/>
        </w:rPr>
        <w:t>27;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функциональное тестирование готового изделия и проведение технического контроля соответствия требованиям технических условий готового изделия </w:t>
      </w:r>
      <w:r>
        <w:rPr>
          <w:rStyle w:val="CharStyle11"/>
          <w:i/>
          <w:iCs/>
          <w:lang w:val="en-US" w:eastAsia="en-US"/>
        </w:rPr>
        <w:t xml:space="preserve">(5 </w:t>
      </w:r>
      <w:r>
        <w:rPr>
          <w:rStyle w:val="CharStyle11"/>
          <w:i/>
          <w:iCs/>
        </w:rPr>
        <w:t>баллов);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применение в изделии центрального микроконтроллера </w:t>
      </w:r>
      <w:r>
        <w:rPr>
          <w:rStyle w:val="CharStyle11"/>
          <w:i/>
          <w:iCs/>
          <w:lang w:val="en-US" w:eastAsia="en-US"/>
        </w:rPr>
        <w:t xml:space="preserve">25 </w:t>
      </w:r>
      <w:r>
        <w:rPr>
          <w:rStyle w:val="CharStyle11"/>
          <w:i/>
          <w:iCs/>
        </w:rPr>
        <w:t xml:space="preserve">и (или) коммуникационного процессора </w:t>
      </w:r>
      <w:r>
        <w:rPr>
          <w:rStyle w:val="CharStyle11"/>
          <w:i/>
          <w:iCs/>
          <w:lang w:val="en-US" w:eastAsia="en-US"/>
        </w:rPr>
        <w:t xml:space="preserve">30, </w:t>
      </w:r>
      <w:r>
        <w:rPr>
          <w:rStyle w:val="CharStyle11"/>
          <w:i/>
          <w:iCs/>
        </w:rPr>
        <w:t xml:space="preserve">удовлетворяющих требованиям к интегральной схеме первого уровня или интегральной схеме второго уровня, предъявляемым в целях ее отнесения к продукции, произведенной на территории Российской Федерации </w:t>
      </w:r>
      <w:r>
        <w:rPr>
          <w:rStyle w:val="CharStyle11"/>
          <w:i/>
          <w:iCs/>
          <w:lang w:val="en-US" w:eastAsia="en-US"/>
        </w:rPr>
        <w:t xml:space="preserve">(Bтоп = 30 </w:t>
      </w:r>
      <w:r>
        <w:rPr>
          <w:rStyle w:val="CharStyle11"/>
          <w:i/>
          <w:iCs/>
        </w:rPr>
        <w:t>баллов),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расчет баллов по формуле: </w:t>
      </w:r>
      <w:r>
        <w:rPr>
          <w:rStyle w:val="CharStyle11"/>
          <w:i/>
          <w:iCs/>
          <w:lang w:val="en-US" w:eastAsia="en-US"/>
        </w:rPr>
        <w:t>B = Bтоп x K,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где К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>количество центральных микроконтроллеров и коммуникационных процессоров, удовлетворяющих требованиям к интегральной схеме первого уровня или интегральной схеме второго уровня, предъявляемым в целях ее отнесения к продукции, произведенной на территории Российской Федерации, деленное на общее количество центральных микроконтроллеров и коммуникационных процессоров по спецификации;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применение в изделии прочей электронной компонентной базы российского производства </w:t>
      </w:r>
      <w:r>
        <w:rPr>
          <w:rStyle w:val="CharStyle11"/>
          <w:i/>
          <w:iCs/>
          <w:lang w:val="en-US" w:eastAsia="en-US"/>
        </w:rPr>
        <w:t xml:space="preserve">(Bтоп = 20 </w:t>
      </w:r>
      <w:r>
        <w:rPr>
          <w:rStyle w:val="CharStyle11"/>
          <w:i/>
          <w:iCs/>
        </w:rPr>
        <w:t>баллов),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расчет баллов по формуле: </w:t>
      </w:r>
      <w:r>
        <w:rPr>
          <w:rStyle w:val="CharStyle11"/>
          <w:i/>
          <w:iCs/>
          <w:lang w:val="en-US" w:eastAsia="en-US"/>
        </w:rPr>
        <w:t>B = Bтоп x K,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где К </w:t>
      </w:r>
      <w:r>
        <w:rPr>
          <w:rStyle w:val="CharStyle11"/>
          <w:i/>
          <w:iCs/>
          <w:lang w:val="en-US" w:eastAsia="en-US"/>
        </w:rPr>
        <w:t xml:space="preserve">- </w:t>
      </w:r>
      <w:r>
        <w:rPr>
          <w:rStyle w:val="CharStyle11"/>
          <w:i/>
          <w:iCs/>
        </w:rPr>
        <w:t xml:space="preserve">количество типономиналов электронной компонентной базы </w:t>
      </w:r>
      <w:r>
        <w:rPr>
          <w:rStyle w:val="CharStyle11"/>
          <w:i/>
          <w:iCs/>
          <w:lang w:val="en-US" w:eastAsia="en-US"/>
        </w:rPr>
        <w:t xml:space="preserve">31 </w:t>
      </w:r>
      <w:r>
        <w:rPr>
          <w:rStyle w:val="CharStyle11"/>
          <w:i/>
          <w:iCs/>
        </w:rPr>
        <w:t>российского производства, деленное на общее количество типономиналов электронной компонентной базы по спецификации</w:t>
      </w:r>
      <w:r>
        <w:rPr>
          <w:rStyle w:val="CharStyle11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Абзац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пункта </w:t>
      </w:r>
      <w:r>
        <w:rPr>
          <w:rStyle w:val="CharStyle11"/>
          <w:lang w:val="en-US" w:eastAsia="en-US"/>
        </w:rPr>
        <w:t xml:space="preserve">26 </w:t>
      </w:r>
      <w:r>
        <w:rPr>
          <w:rStyle w:val="CharStyle11"/>
        </w:rPr>
        <w:t xml:space="preserve">Примечаний к Постановлению </w:t>
      </w:r>
      <w:r>
        <w:rPr>
          <w:rStyle w:val="CharStyle11"/>
          <w:lang w:val="en-US" w:eastAsia="en-US"/>
        </w:rPr>
        <w:t xml:space="preserve">№719 </w:t>
      </w:r>
      <w:r>
        <w:rPr>
          <w:rStyle w:val="CharStyle11"/>
        </w:rPr>
        <w:t xml:space="preserve">содержит следующую информацию: «При этом продукция, включенная в раздел </w:t>
      </w:r>
      <w:r>
        <w:rPr>
          <w:rStyle w:val="CharStyle11"/>
          <w:lang w:val="en-US" w:eastAsia="en-US"/>
        </w:rPr>
        <w:t xml:space="preserve">IX </w:t>
      </w:r>
      <w:r>
        <w:rPr>
          <w:rStyle w:val="CharStyle11"/>
        </w:rPr>
        <w:t xml:space="preserve">настоящего приложения (для продукции, в отношении которой установлены баллы за выполнение технологических операций), </w:t>
      </w:r>
      <w:r>
        <w:rPr>
          <w:rStyle w:val="CharStyle11"/>
          <w:b/>
          <w:bCs/>
        </w:rPr>
        <w:t xml:space="preserve">может быть отнесена к российской промышленной продукции при условии достижения в совокупности следующего суммарного количества баллов </w:t>
      </w:r>
      <w:r>
        <w:rPr>
          <w:rStyle w:val="CharStyle11"/>
        </w:rPr>
        <w:t>за выполнение на территории Российской Федерации указанных операций для каждой единицы продукции:</w:t>
      </w:r>
    </w:p>
    <w:p>
      <w:pPr>
        <w:pStyle w:val="Style10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185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«Устройства запоминающие»: до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2022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не менее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баллов; с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января </w:t>
      </w:r>
      <w:r>
        <w:rPr>
          <w:rStyle w:val="CharStyle11"/>
          <w:lang w:val="en-US" w:eastAsia="en-US"/>
        </w:rPr>
        <w:t xml:space="preserve">2023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не менее </w:t>
      </w:r>
      <w:r>
        <w:rPr>
          <w:rStyle w:val="CharStyle11"/>
          <w:lang w:val="en-US" w:eastAsia="en-US"/>
        </w:rPr>
        <w:t xml:space="preserve">25 </w:t>
      </w:r>
      <w:r>
        <w:rPr>
          <w:rStyle w:val="CharStyle11"/>
        </w:rPr>
        <w:t xml:space="preserve">баллов; </w:t>
      </w:r>
      <w:r>
        <w:rPr>
          <w:rStyle w:val="CharStyle11"/>
          <w:u w:val="single"/>
        </w:rPr>
        <w:t xml:space="preserve">с </w:t>
      </w:r>
      <w:r>
        <w:rPr>
          <w:rStyle w:val="CharStyle11"/>
          <w:u w:val="single"/>
          <w:lang w:val="en-US" w:eastAsia="en-US"/>
        </w:rPr>
        <w:t xml:space="preserve">1 </w:t>
      </w:r>
      <w:r>
        <w:rPr>
          <w:rStyle w:val="CharStyle11"/>
          <w:u w:val="single"/>
        </w:rPr>
        <w:t xml:space="preserve">января </w:t>
      </w:r>
      <w:r>
        <w:rPr>
          <w:rStyle w:val="CharStyle11"/>
          <w:u w:val="single"/>
          <w:lang w:val="en-US" w:eastAsia="en-US"/>
        </w:rPr>
        <w:t xml:space="preserve">2024 </w:t>
      </w:r>
      <w:r>
        <w:rPr>
          <w:rStyle w:val="CharStyle11"/>
          <w:u w:val="single"/>
        </w:rPr>
        <w:t xml:space="preserve">г. </w:t>
      </w:r>
      <w:r>
        <w:rPr>
          <w:rStyle w:val="CharStyle11"/>
          <w:u w:val="single"/>
          <w:lang w:val="en-US" w:eastAsia="en-US"/>
        </w:rPr>
        <w:t xml:space="preserve">- </w:t>
      </w:r>
      <w:r>
        <w:rPr>
          <w:rStyle w:val="CharStyle11"/>
          <w:u w:val="single"/>
        </w:rPr>
        <w:t xml:space="preserve">не менее </w:t>
      </w:r>
      <w:r>
        <w:rPr>
          <w:rStyle w:val="CharStyle11"/>
          <w:u w:val="single"/>
          <w:lang w:val="en-US" w:eastAsia="en-US"/>
        </w:rPr>
        <w:t xml:space="preserve">55 </w:t>
      </w:r>
      <w:r>
        <w:rPr>
          <w:rStyle w:val="CharStyle11"/>
          <w:u w:val="single"/>
        </w:rPr>
        <w:t>баллов</w:t>
      </w:r>
      <w:r>
        <w:rPr>
          <w:rStyle w:val="CharStyle11"/>
        </w:rPr>
        <w:t>;</w:t>
      </w:r>
    </w:p>
    <w:p>
      <w:pPr>
        <w:pStyle w:val="Style10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186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«Устройства запоминающие полупроводниковые, сохраняющие информацию при выключении питания»: до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2022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не менее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баллов; с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января </w:t>
      </w:r>
      <w:r>
        <w:rPr>
          <w:rStyle w:val="CharStyle11"/>
          <w:lang w:val="en-US" w:eastAsia="en-US"/>
        </w:rPr>
        <w:t xml:space="preserve">2023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не менее </w:t>
      </w:r>
      <w:r>
        <w:rPr>
          <w:rStyle w:val="CharStyle11"/>
          <w:lang w:val="en-US" w:eastAsia="en-US"/>
        </w:rPr>
        <w:t xml:space="preserve">25 </w:t>
      </w:r>
      <w:r>
        <w:rPr>
          <w:rStyle w:val="CharStyle11"/>
        </w:rPr>
        <w:t xml:space="preserve">баллов; </w:t>
      </w:r>
      <w:r>
        <w:rPr>
          <w:rStyle w:val="CharStyle11"/>
          <w:u w:val="single"/>
        </w:rPr>
        <w:t xml:space="preserve">с </w:t>
      </w:r>
      <w:r>
        <w:rPr>
          <w:rStyle w:val="CharStyle11"/>
          <w:u w:val="single"/>
          <w:lang w:val="en-US" w:eastAsia="en-US"/>
        </w:rPr>
        <w:t xml:space="preserve">1 </w:t>
      </w:r>
      <w:r>
        <w:rPr>
          <w:rStyle w:val="CharStyle11"/>
          <w:u w:val="single"/>
        </w:rPr>
        <w:t xml:space="preserve">января </w:t>
      </w:r>
      <w:r>
        <w:rPr>
          <w:rStyle w:val="CharStyle11"/>
          <w:u w:val="single"/>
          <w:lang w:val="en-US" w:eastAsia="en-US"/>
        </w:rPr>
        <w:t xml:space="preserve">2024 </w:t>
      </w:r>
      <w:r>
        <w:rPr>
          <w:rStyle w:val="CharStyle11"/>
          <w:u w:val="single"/>
        </w:rPr>
        <w:t xml:space="preserve">г. </w:t>
      </w:r>
      <w:r>
        <w:rPr>
          <w:rStyle w:val="CharStyle11"/>
          <w:u w:val="single"/>
          <w:lang w:val="en-US" w:eastAsia="en-US"/>
        </w:rPr>
        <w:t xml:space="preserve">- </w:t>
      </w:r>
      <w:r>
        <w:rPr>
          <w:rStyle w:val="CharStyle11"/>
          <w:u w:val="single"/>
        </w:rPr>
        <w:t xml:space="preserve">не менее </w:t>
      </w:r>
      <w:r>
        <w:rPr>
          <w:rStyle w:val="CharStyle11"/>
          <w:u w:val="single"/>
          <w:lang w:val="en-US" w:eastAsia="en-US"/>
        </w:rPr>
        <w:t xml:space="preserve">55 </w:t>
      </w:r>
      <w:r>
        <w:rPr>
          <w:rStyle w:val="CharStyle11"/>
          <w:u w:val="single"/>
        </w:rPr>
        <w:t>баллов</w:t>
      </w:r>
      <w:r>
        <w:rPr>
          <w:rStyle w:val="CharStyle11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Таким образом, для того, чтобы считать продукцию, относящуюся к группе радиоэлектроники, произведенной на территории Российской Федерации необходимо наличие в Реестре российской промышленной продукции </w:t>
      </w:r>
      <w:r>
        <w:rPr>
          <w:rStyle w:val="CharStyle11"/>
          <w:b/>
          <w:bCs/>
        </w:rPr>
        <w:t xml:space="preserve">не менее </w:t>
      </w:r>
      <w:r>
        <w:rPr>
          <w:rStyle w:val="CharStyle11"/>
          <w:b/>
          <w:bCs/>
          <w:lang w:val="en-US" w:eastAsia="en-US"/>
        </w:rPr>
        <w:t xml:space="preserve">55 </w:t>
      </w:r>
      <w:r>
        <w:rPr>
          <w:rStyle w:val="CharStyle11"/>
          <w:b/>
          <w:bCs/>
        </w:rPr>
        <w:t xml:space="preserve">баллов </w:t>
      </w:r>
      <w:r>
        <w:rPr>
          <w:rStyle w:val="CharStyle11"/>
        </w:rPr>
        <w:t>за выполнение (освоение) операций на территории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С учетом вышеизложенного, Комиссия Заказчика </w:t>
      </w:r>
      <w:r>
        <w:rPr>
          <w:rStyle w:val="CharStyle11"/>
          <w:b/>
          <w:bCs/>
        </w:rPr>
        <w:t xml:space="preserve">неправомерно признала </w:t>
      </w:r>
      <w:r>
        <w:rPr>
          <w:rStyle w:val="CharStyle11"/>
        </w:rPr>
        <w:t xml:space="preserve">заявку </w:t>
      </w:r>
      <w:r>
        <w:rPr>
          <w:rStyle w:val="CharStyle11"/>
          <w:lang w:val="en-US" w:eastAsia="en-US"/>
        </w:rPr>
        <w:t xml:space="preserve">№236 </w:t>
      </w:r>
      <w:r>
        <w:rPr>
          <w:rStyle w:val="CharStyle11"/>
        </w:rPr>
        <w:t xml:space="preserve">соответствующей требованиям Постановления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 xml:space="preserve">и </w:t>
      </w:r>
      <w:r>
        <w:rPr>
          <w:rStyle w:val="CharStyle11"/>
          <w:b/>
          <w:bCs/>
        </w:rPr>
        <w:t xml:space="preserve">отклонила </w:t>
      </w:r>
      <w:r>
        <w:rPr>
          <w:rStyle w:val="CharStyle11"/>
        </w:rPr>
        <w:t>заявки остальных участников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6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71" w:right="541" w:bottom="764" w:left="1077" w:header="0" w:footer="336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Исходя из вышеуказанного, Комиссия Заказчика должна была допустить до участия в рассматриваемой закупке все поданные заявки, признать победителем </w:t>
      </w:r>
      <w:r>
        <w:rPr>
          <w:rStyle w:val="CharStyle11"/>
          <w:sz w:val="24"/>
          <w:szCs w:val="24"/>
          <w:lang w:val="en-US" w:eastAsia="en-US"/>
        </w:rPr>
        <w:t>2025-2385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Аукциона участника с идентификационным номером заявки </w:t>
      </w:r>
      <w:r>
        <w:rPr>
          <w:rStyle w:val="CharStyle11"/>
          <w:lang w:val="en-US" w:eastAsia="en-US"/>
        </w:rPr>
        <w:t xml:space="preserve">– 126 </w:t>
      </w:r>
      <w:r>
        <w:rPr>
          <w:rStyle w:val="CharStyle11"/>
        </w:rPr>
        <w:t xml:space="preserve">(ИП Иванов С.О.), предложившего цену контракта </w:t>
      </w:r>
      <w:r>
        <w:rPr>
          <w:rStyle w:val="CharStyle11"/>
          <w:lang w:val="en-US" w:eastAsia="en-US"/>
        </w:rPr>
        <w:t xml:space="preserve">– 58 560,00 </w:t>
      </w:r>
      <w:r>
        <w:rPr>
          <w:rStyle w:val="CharStyle11"/>
        </w:rPr>
        <w:t xml:space="preserve">рублей (снижение составило </w:t>
      </w:r>
      <w:r>
        <w:rPr>
          <w:rStyle w:val="CharStyle11"/>
          <w:lang w:val="en-US" w:eastAsia="en-US"/>
        </w:rPr>
        <w:t xml:space="preserve">45,78%) </w:t>
      </w:r>
      <w:r>
        <w:rPr>
          <w:rStyle w:val="CharStyle11"/>
        </w:rPr>
        <w:t>и продолжить процедуру заключения контракта с учетом требований законодательства о контрактной системе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 xml:space="preserve">Следовательно, жалоба Заявителя является </w:t>
      </w:r>
      <w:r>
        <w:rPr>
          <w:rStyle w:val="CharStyle11"/>
          <w:b/>
          <w:bCs/>
        </w:rPr>
        <w:t>обоснованной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 xml:space="preserve">Таким образом, Комиссия УФАС приходит в выводу о том, что в действиях Комиссии Уполномоченного органа усматривается нарушение </w:t>
      </w:r>
      <w:r>
        <w:rPr>
          <w:rStyle w:val="CharStyle11"/>
          <w:b/>
          <w:bCs/>
        </w:rPr>
        <w:t xml:space="preserve">подпункта «а» пункта </w:t>
      </w:r>
      <w:r>
        <w:rPr>
          <w:rStyle w:val="CharStyle11"/>
          <w:b/>
          <w:bCs/>
          <w:lang w:val="en-US" w:eastAsia="en-US"/>
        </w:rPr>
        <w:t xml:space="preserve">1 </w:t>
      </w:r>
      <w:r>
        <w:rPr>
          <w:rStyle w:val="CharStyle11"/>
          <w:b/>
          <w:bCs/>
        </w:rPr>
        <w:t xml:space="preserve">части </w:t>
      </w:r>
      <w:r>
        <w:rPr>
          <w:rStyle w:val="CharStyle11"/>
          <w:b/>
          <w:bCs/>
          <w:lang w:val="en-US" w:eastAsia="en-US"/>
        </w:rPr>
        <w:t xml:space="preserve">5 </w:t>
      </w:r>
      <w:r>
        <w:rPr>
          <w:rStyle w:val="CharStyle11"/>
          <w:b/>
          <w:bCs/>
        </w:rPr>
        <w:t xml:space="preserve">статьи </w:t>
      </w:r>
      <w:r>
        <w:rPr>
          <w:rStyle w:val="CharStyle11"/>
          <w:b/>
          <w:bCs/>
          <w:lang w:val="en-US" w:eastAsia="en-US"/>
        </w:rPr>
        <w:t xml:space="preserve">49 </w:t>
      </w:r>
      <w:r>
        <w:rPr>
          <w:rStyle w:val="CharStyle11"/>
        </w:rPr>
        <w:t xml:space="preserve">Закона о контрактной системе, в соответствии с которым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</w:t>
      </w:r>
      <w:r>
        <w:rPr>
          <w:rStyle w:val="CharStyle11"/>
          <w:u w:val="single"/>
        </w:rPr>
        <w:t>члены комиссии по осуществлению закупок рассматривают заявки</w:t>
      </w:r>
      <w:r>
        <w:rPr>
          <w:rStyle w:val="CharStyle11"/>
        </w:rPr>
        <w:t xml:space="preserve">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настоящей статьи, </w:t>
      </w:r>
      <w:r>
        <w:rPr>
          <w:rStyle w:val="CharStyle11"/>
          <w:u w:val="single"/>
        </w:rPr>
        <w:t>и принимают решение о признании заявки на участие в закупке соответствующей извещению об осуществлении закупки или об отклонении заявки</w:t>
      </w:r>
      <w:r>
        <w:rPr>
          <w:rStyle w:val="CharStyle11"/>
        </w:rPr>
        <w:t xml:space="preserve"> на участие в закупке по основаниям, предусмотренным пунктами </w:t>
      </w:r>
      <w:r>
        <w:rPr>
          <w:rStyle w:val="CharStyle11"/>
          <w:lang w:val="en-US" w:eastAsia="en-US"/>
        </w:rPr>
        <w:t xml:space="preserve">1 - 8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 xml:space="preserve">Данное нарушение содержит признак административного правонарушения, ответственность за совершение которого предусмотрена </w:t>
      </w:r>
      <w:r>
        <w:rPr>
          <w:rStyle w:val="CharStyle11"/>
          <w:b/>
          <w:bCs/>
        </w:rPr>
        <w:t xml:space="preserve">частью </w:t>
      </w:r>
      <w:r>
        <w:rPr>
          <w:rStyle w:val="CharStyle11"/>
          <w:b/>
          <w:bCs/>
          <w:lang w:val="en-US" w:eastAsia="en-US"/>
        </w:rPr>
        <w:t xml:space="preserve">7 </w:t>
      </w:r>
      <w:r>
        <w:rPr>
          <w:rStyle w:val="CharStyle11"/>
          <w:b/>
          <w:bCs/>
        </w:rPr>
        <w:t xml:space="preserve">статьи </w:t>
      </w:r>
      <w:r>
        <w:rPr>
          <w:rStyle w:val="CharStyle11"/>
          <w:b/>
          <w:bCs/>
          <w:lang w:val="en-US" w:eastAsia="en-US"/>
        </w:rPr>
        <w:t xml:space="preserve">7.30.1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80"/>
        <w:jc w:val="both"/>
      </w:pPr>
      <w:r>
        <w:rPr>
          <w:rStyle w:val="CharStyle11"/>
        </w:rPr>
        <w:t xml:space="preserve">Руководствуясь статьями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>Признать жалобу ИП Иванова С.О.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 xml:space="preserve">Признать в действиях Комиссии Заказчика нарушение подпункта «а»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>Выдать Заказчику, Оператору электронной площадки обязательное для исполнения предписание об устранении выявленного нарушения.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9" w:val="left"/>
        </w:tabs>
        <w:bidi w:val="0"/>
        <w:spacing w:before="0" w:after="80" w:line="240" w:lineRule="auto"/>
        <w:ind w:left="0" w:right="0" w:firstLine="680"/>
        <w:jc w:val="both"/>
      </w:pPr>
      <w:r>
        <w:rPr>
          <w:rStyle w:val="CharStyle11"/>
        </w:rPr>
        <w:t xml:space="preserve">Передать должностному лицу Адыгейского УФАС России материалы дела </w:t>
      </w:r>
      <w:r>
        <w:rPr>
          <w:rStyle w:val="CharStyle11"/>
          <w:lang w:val="en-US" w:eastAsia="en-US"/>
        </w:rPr>
        <w:t xml:space="preserve">№001/06/49-376/2025 </w:t>
      </w:r>
      <w:r>
        <w:rPr>
          <w:rStyle w:val="CharStyle11"/>
        </w:rPr>
        <w:t>для рассмотрения вопроса о возбуждении дела по выявленному признаку административного правонарушения.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1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142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09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5610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00000000000003pt;margin-top:24.pt;width:146.15000000000001pt;height:19.699999999999999pt;z-index:-125829373;mso-wrap-distance-left:0;mso-wrap-distance-top:2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2" behindDoc="0" locked="0" layoutInCell="1" allowOverlap="1">
            <wp:simplePos x="0" y="0"/>
            <wp:positionH relativeFrom="page">
              <wp:posOffset>2854325</wp:posOffset>
            </wp:positionH>
            <wp:positionV relativeFrom="paragraph">
              <wp:posOffset>374650</wp:posOffset>
            </wp:positionV>
            <wp:extent cx="359410" cy="52451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3314700</wp:posOffset>
                </wp:positionH>
                <wp:positionV relativeFrom="paragraph">
                  <wp:posOffset>779780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1.pt;margin-top:61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3274695</wp:posOffset>
                </wp:positionH>
                <wp:positionV relativeFrom="paragraph">
                  <wp:posOffset>462915</wp:posOffset>
                </wp:positionV>
                <wp:extent cx="1722120" cy="2654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57.85000000000002pt;margin-top:36.450000000000003pt;width:135.59999999999999pt;height:20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40995" distL="0" distR="0" simplePos="0" relativeHeight="125829383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304800</wp:posOffset>
                </wp:positionV>
                <wp:extent cx="86233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97.90000000000003pt;margin-top:24.pt;width:67.900000000000006pt;height:19.699999999999999pt;z-index:-125829370;mso-wrap-distance-left:0;mso-wrap-distance-top:2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ЖУКОВ АЗАМАТ ГАСАНОВИЧ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4B9C8818528740555A2694AABD28237A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6" w:bottom="1426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Действителен с 21.05.2025 по 14.08.2026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</wp:posOffset>
                </wp:positionV>
                <wp:extent cx="1325880" cy="252730"/>
                <wp:wrapSquare wrapText="right"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7.950000000000003pt;margin-top:1.pt;width:104.40000000000001pt;height:19.9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12700</wp:posOffset>
                </wp:positionV>
                <wp:extent cx="1173480" cy="252730"/>
                <wp:wrapSquare wrapText="left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3.65000000000003pt;margin-top:1.pt;width:92.400000000000006pt;height:19.900000000000002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С.М. Керашева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90"/>
        <w:ind w:right="0"/>
        <w:jc w:val="left"/>
      </w:pPr>
      <w:r>
        <w:rPr>
          <w:rStyle w:val="CharStyle34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6"/>
          <w:b/>
          <w:bCs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Керашева Сусана Муратовна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00A0FD32E0EFEE026E624F0421626EED3A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719" w:right="536" w:bottom="11933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 xml:space="preserve">Действителен с 17.01.2025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12.04.2026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0" w:bottom="11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021" w:h="158" w:wrap="none" w:vAnchor="text" w:hAnchor="page" w:x="5221" w:y="75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rFonts w:ascii="Times New Roman" w:eastAsia="Times New Roman" w:hAnsi="Times New Roman" w:cs="Times New Roman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3"/>
        <w:keepNext w:val="0"/>
        <w:keepLines w:val="0"/>
        <w:framePr w:w="2712" w:h="418" w:wrap="none" w:vAnchor="text" w:hAnchor="page" w:x="5158" w:y="25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4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0"/>
        <w:keepNext w:val="0"/>
        <w:keepLines w:val="0"/>
        <w:framePr w:w="1757" w:h="398" w:wrap="none" w:vAnchor="text" w:hAnchor="page" w:x="95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Н.А. Клюкина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2" behindDoc="1" locked="0" layoutInCell="1" allowOverlap="1">
            <wp:simplePos x="0" y="0"/>
            <wp:positionH relativeFrom="page">
              <wp:posOffset>2854325</wp:posOffset>
            </wp:positionH>
            <wp:positionV relativeFrom="paragraph">
              <wp:posOffset>73025</wp:posOffset>
            </wp:positionV>
            <wp:extent cx="359410" cy="524510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536" w:bottom="1171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КЛЮКИНА НАТАЛЬЯ АЛЕКСАНДРОВНА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68C6EA25EAC373ADCFE5D67D96FA5798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 xml:space="preserve">Действителен с 09.06.2025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9" w:right="3997" w:bottom="1719" w:left="451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10013315</wp:posOffset>
              </wp:positionV>
              <wp:extent cx="65532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2025-2385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88.45000000000005pt;width:51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2025-2385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10086340</wp:posOffset>
              </wp:positionV>
              <wp:extent cx="65532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2025-2385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5pt;margin-top:794.20000000000005pt;width:51.6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2025-2385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10013315</wp:posOffset>
              </wp:positionV>
              <wp:extent cx="655320" cy="10668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2025-2385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5pt;margin-top:788.45000000000005pt;width:51.600000000000001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2025-2385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702945</wp:posOffset>
              </wp:positionV>
              <wp:extent cx="15557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5.85000000000002pt;margin-top:55.350000000000001pt;width:12.2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73025" cy="1066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25pt;margin-top:59.800000000000004pt;width:5.75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702945</wp:posOffset>
              </wp:positionV>
              <wp:extent cx="155575" cy="10668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5.85000000000002pt;margin-top:55.350000000000001pt;width:12.25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20"/>
      <w:numFmt w:val="decimal"/>
      <w:lvlText w:val="%1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21"/>
      <w:numFmt w:val="decimal"/>
      <w:lvlText w:val="%1.%2"/>
    </w:lvl>
    <w:lvl w:ilvl="2">
      <w:start w:val="21"/>
      <w:numFmt w:val="decimal"/>
      <w:lvlText w:val="%1.%2.%3"/>
    </w:lvl>
  </w:abstractNum>
  <w:abstractNum w:abstractNumId="8">
    <w:multiLevelType w:val="multilevel"/>
    <w:lvl w:ilvl="0">
      <w:start w:val="10"/>
      <w:numFmt w:val="decimal"/>
      <w:lvlText w:val="%1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"/>
    </w:lvl>
    <w:lvl w:ilvl="2">
      <w:start w:val="1"/>
      <w:numFmt w:val="decimal"/>
      <w:lvlText w:val="%1.%2.%3"/>
    </w:lvl>
  </w:abstractNum>
  <w:abstractNum w:abstractNumId="10">
    <w:multiLevelType w:val="multilevel"/>
    <w:lvl w:ilvl="0">
      <w:start w:val="26"/>
      <w:numFmt w:val="decimal"/>
      <w:lvlText w:val="%1"/>
    </w:lvl>
    <w:lvl w:ilvl="1">
      <w:start w:val="20"/>
      <w:numFmt w:val="decimal"/>
      <w:lvlText w:val="%1.%2"/>
    </w:lvl>
    <w:lvl w:ilvl="2">
      <w:start w:val="21"/>
      <w:numFmt w:val="decimal"/>
      <w:lvlText w:val="%1.%2.%3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4">
    <w:name w:val="Body text (5)_"/>
    <w:basedOn w:val="DefaultParagraphFont"/>
    <w:link w:val="Style33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36">
    <w:name w:val="Body text (6)_"/>
    <w:basedOn w:val="DefaultParagraphFont"/>
    <w:link w:val="Style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171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3">
    <w:name w:val="Body text (5)"/>
    <w:basedOn w:val="Normal"/>
    <w:link w:val="CharStyle34"/>
    <w:pPr>
      <w:widowControl w:val="0"/>
      <w:shd w:val="clear" w:color="auto" w:fill="auto"/>
      <w:spacing w:after="100" w:line="293" w:lineRule="auto"/>
      <w:ind w:left="4060" w:hanging="2320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35">
    <w:name w:val="Body text (6)"/>
    <w:basedOn w:val="Normal"/>
    <w:link w:val="CharStyle3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