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4,09.2025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ИБ/18725/2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  <w:br/>
        <w:t>№052/06/105-2345/2025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Муниципальное казенное учреждение "Административно-техническое обеспечение Кстовского муниципального округа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607650, Нижегородская область, Кстовский р-н, 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 xml:space="preserve">Кстово, б-р Нефтепереработчиков, д. 3 </w:t>
      </w:r>
      <w:r>
        <w:fldChar w:fldCharType="begin"/>
      </w:r>
      <w:r>
        <w:rPr/>
        <w:instrText> HYPERLINK "mailto:kstovo_adm_omz@mail.ru"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kstovo_adm_omz@mail.ru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"mailto:mku_ato@mail.ru"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mku_ato@mail.ru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МБУ " Спортивная школа олимпийского резерва по самбо и дзюдо"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Нижний Новгород, Львовская, 2А.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ООО "СП КОМ"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"mailto:info@metlana.ru"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info@metlana.ru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ЭТП Газпромбанк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810" w:bottom="2379" w:left="1135" w:header="0" w:footer="3" w:gutter="0"/>
          <w:cols w:num="2" w:space="576"/>
          <w:noEndnote/>
          <w:rtlGutter w:val="0"/>
          <w:docGrid w:linePitch="360"/>
        </w:sectPr>
      </w:pPr>
      <w:r>
        <w:rPr>
          <w:rStyle w:val="CharStyle13"/>
          <w:sz w:val="22"/>
          <w:szCs w:val="22"/>
        </w:rPr>
        <w:t xml:space="preserve">117342, город Москва, Миклухо-Маклая улица, дом 40, подвал помещение </w:t>
      </w:r>
      <w:r>
        <w:rPr>
          <w:rStyle w:val="CharStyle13"/>
          <w:sz w:val="22"/>
          <w:szCs w:val="22"/>
          <w:lang w:val="en-US" w:eastAsia="en-US"/>
        </w:rPr>
        <w:t xml:space="preserve">I </w:t>
      </w:r>
      <w:r>
        <w:rPr>
          <w:rStyle w:val="CharStyle13"/>
          <w:sz w:val="22"/>
          <w:szCs w:val="22"/>
        </w:rPr>
        <w:t xml:space="preserve">ком 25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info@etpgpb.ru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154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6" w:right="0" w:bottom="16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№052/06/105-2345/2025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01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14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01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21"/>
        <w:gridCol w:w="8222"/>
      </w:tblGrid>
      <w:tr>
        <w:trPr>
          <w:trHeight w:val="88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3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Баранова И.В.</w:t>
            </w:r>
          </w:p>
          <w:p>
            <w:pPr>
              <w:pStyle w:val="Style19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3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rStyle w:val="CharStyle20"/>
              </w:rPr>
              <w:t>- председателя комиссии, заместителя руководителя Управления,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00"/>
              <w:jc w:val="left"/>
            </w:pPr>
            <w:r>
              <w:rPr>
                <w:rStyle w:val="CharStyle20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-Лебедевой Ю.К.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00"/>
              <w:jc w:val="left"/>
            </w:pPr>
            <w:r>
              <w:rPr>
                <w:rStyle w:val="CharStyle20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при участии посредством видео-конференц-связи:</w:t>
      </w:r>
    </w:p>
    <w:tbl>
      <w:tblPr>
        <w:tblOverlap w:val="never"/>
        <w:jc w:val="center"/>
        <w:tblLayout w:type="fixed"/>
      </w:tblPr>
      <w:tblGrid>
        <w:gridCol w:w="1973"/>
        <w:gridCol w:w="8275"/>
      </w:tblGrid>
      <w:tr>
        <w:trPr>
          <w:trHeight w:val="62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Кутузовой Р.И.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hanging="100"/>
              <w:jc w:val="left"/>
            </w:pPr>
            <w:r>
              <w:rPr>
                <w:rStyle w:val="CharStyle20"/>
              </w:rPr>
              <w:t>- представителя МКУ «АТО КМО» по доверенности (доверенность №28 от 13.11.2024г),</w:t>
            </w:r>
          </w:p>
        </w:tc>
      </w:tr>
      <w:tr>
        <w:trPr>
          <w:trHeight w:val="62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Руденко Л.О.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hanging="100"/>
              <w:jc w:val="left"/>
            </w:pPr>
            <w:r>
              <w:rPr>
                <w:rStyle w:val="CharStyle20"/>
              </w:rPr>
              <w:t>- представителя ООО «СП КОМ» по доверенности (доверенность №б/н от 29.08.2025г),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rStyle w:val="CharStyle13"/>
        </w:rPr>
        <w:t>рассмотрев посредством видеоконферецсвязи жалобу Общества с ограниченной ответственностью «СП КОМ» (далее также – заявитель, ООО «СП КОМ») на действия заказчика Муниципального бюджетного учреждения дополнительного образования спортивная школа олимпийского резерва «Олимп» (далее также — заказчик) и Муниципального казенного учреждения «Административно-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3"/>
        </w:rPr>
        <w:t xml:space="preserve">техническое обеспечение Кстовского муниципального округа Нижегородской области» (далее также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уполномоченный орган) при определении поставщика путем проведения запроса котировок в электронной форме на право заключения контракта по объекту закупки: «Поставка толкаемой поломоечной машины», номер извещения </w:t>
      </w:r>
      <w:r>
        <w:rPr>
          <w:rStyle w:val="CharStyle13"/>
          <w:lang w:val="en-US" w:eastAsia="en-US"/>
        </w:rPr>
        <w:t>0332300330625000351,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закупки:«Поставка толкаемой поломоечной машины», номер извещения </w:t>
      </w:r>
      <w:r>
        <w:rPr>
          <w:rStyle w:val="CharStyle13"/>
          <w:lang w:val="en-US" w:eastAsia="en-US"/>
        </w:rPr>
        <w:t>0332300330625000351.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13.08.2025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ЭТП Газпромбанк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250 333,33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09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По мнению заявителя, Заказчик неправомерно отклонил заявку заявителя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320"/>
        <w:ind w:left="0" w:right="0" w:firstLine="720"/>
        <w:jc w:val="both"/>
      </w:pPr>
      <w:r>
        <w:rPr>
          <w:rStyle w:val="CharStyle13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>настоящего Федерального закона), предложенных участником закупки, подавшим такую заявку, с учетом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положений нормативных правовых актов, принятых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или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3"/>
          <w:lang w:val="en-US" w:eastAsia="en-US"/>
        </w:rPr>
        <w:t xml:space="preserve">1, 2, 4 - 7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21.08.2025 </w:t>
      </w:r>
      <w:r>
        <w:rPr>
          <w:rStyle w:val="CharStyle13"/>
        </w:rPr>
        <w:t xml:space="preserve">№ИЗК1 заявка заявителя жалобы отклонена ввиду недостоверности информации, содержащейся в заявке на участие в закупке согласно п.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«В нарушение требований п.2 раздела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файла "Общие условия закупки", в предложении участника закупки в позиции </w:t>
      </w:r>
      <w:r>
        <w:rPr>
          <w:rStyle w:val="CharStyle13"/>
          <w:lang w:val="en-US" w:eastAsia="en-US"/>
        </w:rPr>
        <w:t xml:space="preserve">27.51.21.112 - </w:t>
      </w:r>
      <w:r>
        <w:rPr>
          <w:rStyle w:val="CharStyle13"/>
        </w:rPr>
        <w:t xml:space="preserve">Электрополотеры, как товарный знак указано наименование «Аккумуляторная поломоечная машина Метлана М50В», а в соответствии с реестром регистрации товарных знаков </w:t>
      </w:r>
      <w:r>
        <w:rPr>
          <w:rStyle w:val="CharStyle13"/>
          <w:lang w:val="en-US" w:eastAsia="en-US"/>
        </w:rPr>
        <w:t>(</w:t>
      </w:r>
      <w:r>
        <w:fldChar w:fldCharType="begin"/>
      </w:r>
      <w:r>
        <w:rPr/>
        <w:instrText> HYPERLINK "https://www.znakoved.ru/poisk_tovarnyh_znakov/" </w:instrText>
      </w:r>
      <w:r>
        <w:fldChar w:fldCharType="separate"/>
      </w:r>
      <w:r>
        <w:rPr>
          <w:rStyle w:val="CharStyle13"/>
          <w:lang w:val="en-US" w:eastAsia="en-US"/>
        </w:rPr>
        <w:t>https://www.znakoved.ru/poisk_tovarnyh_znakov/</w:t>
      </w:r>
      <w:r>
        <w:fldChar w:fldCharType="end"/>
      </w:r>
      <w:r>
        <w:rPr>
          <w:rStyle w:val="CharStyle13"/>
          <w:lang w:val="en-US" w:eastAsia="en-US"/>
        </w:rPr>
        <w:t xml:space="preserve">) </w:t>
      </w:r>
      <w:r>
        <w:rPr>
          <w:rStyle w:val="CharStyle13"/>
        </w:rPr>
        <w:t xml:space="preserve">и на платформе Роспатент </w:t>
      </w:r>
      <w:r>
        <w:rPr>
          <w:rStyle w:val="CharStyle13"/>
          <w:lang w:val="en-US" w:eastAsia="en-US"/>
        </w:rPr>
        <w:t>(</w:t>
      </w:r>
      <w:r>
        <w:fldChar w:fldCharType="begin"/>
      </w:r>
      <w:r>
        <w:rPr/>
        <w:instrText> HYPERLINK "https://searchplatform.rospatent.gov.ru/" </w:instrText>
      </w:r>
      <w:r>
        <w:fldChar w:fldCharType="separate"/>
      </w:r>
      <w:r>
        <w:rPr>
          <w:rStyle w:val="CharStyle13"/>
          <w:lang w:val="en-US" w:eastAsia="en-US"/>
        </w:rPr>
        <w:t>https://searchplatform.rospatent.gov.ru/</w:t>
      </w:r>
      <w:r>
        <w:fldChar w:fldCharType="end"/>
      </w:r>
      <w:r>
        <w:rPr>
          <w:rStyle w:val="CharStyle13"/>
          <w:lang w:val="en-US" w:eastAsia="en-US"/>
        </w:rPr>
        <w:t xml:space="preserve">) </w:t>
      </w:r>
      <w:r>
        <w:rPr>
          <w:rStyle w:val="CharStyle13"/>
        </w:rPr>
        <w:t xml:space="preserve">отсутствует вышеназванное наименование товарного знака. Таким образом, заявка участника признана комиссией не соответствующей требованиям, по причине предоставления недостоверной информации в части указания товарного знака на основании пункта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нарушение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 </w:t>
      </w:r>
      <w:r>
        <w:rPr>
          <w:rStyle w:val="CharStyle13"/>
        </w:rPr>
        <w:t xml:space="preserve">извещения наименования товарных знаков, указанные участником закупки в соответствии с общедоступными данными </w:t>
      </w:r>
      <w:r>
        <w:fldChar w:fldCharType="begin"/>
      </w:r>
      <w:r>
        <w:rPr/>
        <w:instrText> HYPERLINK "https://searchplatform.rospatent.gov.ru/trademarks" </w:instrText>
      </w:r>
      <w:r>
        <w:fldChar w:fldCharType="separate"/>
      </w:r>
      <w:r>
        <w:rPr>
          <w:rStyle w:val="CharStyle13"/>
          <w:lang w:val="en-US" w:eastAsia="en-US"/>
        </w:rPr>
        <w:t>https://searchplatform.rospatent.gov.ru/trademarks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не являются зарегистрированными товарными знаками».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Подпунктом «а»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Закона о контрактной системе предусмотрено, что предложение участника закупки в отношении объекта закупки должно содержать с учетом положений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товарный знак (при наличии у товара товарного знака).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Заявитель жалобы в структурированной форме заявки указал товарный знак «Аккумуляторная поломоечная машина Метлана М50В».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соответствии с положениями статей </w:t>
      </w:r>
      <w:r>
        <w:rPr>
          <w:rStyle w:val="CharStyle13"/>
          <w:lang w:val="en-US" w:eastAsia="en-US"/>
        </w:rPr>
        <w:t xml:space="preserve">1479, 1480, 1481 </w:t>
      </w:r>
      <w:r>
        <w:rPr>
          <w:rStyle w:val="CharStyle13"/>
        </w:rPr>
        <w:t>Гражданского Кодекса Российской Федерации указанное обозначение является товарным знаком только в случае его государственной регистрации федеральным органом исполнительной власти по интеллектуальной собственности (Роспатент) и выдачи соответствующего свидетельства.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Данные словесные обозначение не зарегистрированы в Роспатенте в соответствии с положениями статьи </w:t>
      </w:r>
      <w:r>
        <w:rPr>
          <w:rStyle w:val="CharStyle13"/>
          <w:lang w:val="en-US" w:eastAsia="en-US"/>
        </w:rPr>
        <w:t xml:space="preserve">1503 </w:t>
      </w:r>
      <w:r>
        <w:rPr>
          <w:rStyle w:val="CharStyle13"/>
        </w:rPr>
        <w:t>Гражданского Кодекса Российской и отсутствуют в реестре.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Заявитель жалобы пояснил, что с структурированной форме заявки указал товарный знак с наименованием модели.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Комиссия Нижегородского УФАС России засушив доводы сторон и изучив материалы дела, пришла к выводу об отсутствии нарушений в действиях аукционной комиссии, так заявитель жалобы указал сведения в структурированной форме заявки непредусмотренные свидетельством о товарном знаке, что не соответствует положениям законодательства о контрактной системе в сфере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Доказательств иного заявителем жалобы в материалы дела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 этой связи жалоба ООО «СП КОМ» признается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3"/>
        </w:rPr>
        <w:t>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3"/>
        </w:rPr>
        <w:t xml:space="preserve">Признать жалобу Общества с ограниченной ответственностью «СП КОМ» на действия заказчика Муниципального бюджетного учреждения дополнительного образования спортивная школа олимпийского резерва «Олимп» и Муниципального казенного учреждения «Административно-техническое обеспечение Кстовского муниципального округа Нижегородской области» при определении поставщика путем проведения запроса котировок в электронной форме на право заключения контракта по объекту закупки: «Поставка толкаемой поломоечной машины», номер извещения </w:t>
      </w:r>
      <w:r>
        <w:rPr>
          <w:rStyle w:val="CharStyle13"/>
          <w:lang w:val="en-US" w:eastAsia="en-US"/>
        </w:rPr>
        <w:t xml:space="preserve">0332300330625000351,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9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078865" distL="199390" distR="117475" simplePos="0" relativeHeight="125829380" behindDoc="0" locked="0" layoutInCell="1" allowOverlap="1">
                <wp:simplePos x="0" y="0"/>
                <wp:positionH relativeFrom="page">
                  <wp:posOffset>6189980</wp:posOffset>
                </wp:positionH>
                <wp:positionV relativeFrom="paragraph">
                  <wp:posOffset>12700</wp:posOffset>
                </wp:positionV>
                <wp:extent cx="1027430" cy="25019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7.40000000000003pt;margin-top:1.pt;width:80.900000000000006pt;height:19.699999999999999pt;z-index:-125829373;mso-wrap-distance-left:15.700000000000001pt;mso-wrap-distance-right:9.25pt;mso-wrap-distance-bottom:84.95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И.В. Баранов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588010" distB="635" distL="114300" distR="114300" simplePos="0" relativeHeight="125829382" behindDoc="0" locked="0" layoutInCell="1" allowOverlap="1">
                <wp:simplePos x="0" y="0"/>
                <wp:positionH relativeFrom="page">
                  <wp:posOffset>6104890</wp:posOffset>
                </wp:positionH>
                <wp:positionV relativeFrom="paragraph">
                  <wp:posOffset>600710</wp:posOffset>
                </wp:positionV>
                <wp:extent cx="1115695" cy="74041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740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М.К.Войнова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Ю.К.Лебедева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0.69999999999999pt;margin-top:47.300000000000004pt;width:87.850000000000009pt;height:58.300000000000004pt;z-index:-125829371;mso-wrap-distance-left:9.pt;mso-wrap-distance-top:46.300000000000004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М.К.Войнова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Ю.К.Лебедева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2" w:name="bookmark2"/>
      <w:r>
        <w:rPr>
          <w:rStyle w:val="CharStyle24"/>
        </w:rPr>
        <w:t>Председатель комиссии</w:t>
      </w:r>
      <w:bookmarkEnd w:id="2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820" w:line="240" w:lineRule="auto"/>
        <w:ind w:left="0" w:right="0" w:firstLine="0"/>
        <w:jc w:val="left"/>
      </w:pPr>
      <w:bookmarkStart w:id="4" w:name="bookmark4"/>
      <w:r>
        <w:rPr>
          <w:rStyle w:val="CharStyle24"/>
        </w:rPr>
        <w:t>Члены комиссии: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46" w:right="539" w:bottom="1615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777240</wp:posOffset>
              </wp:positionH>
              <wp:positionV relativeFrom="page">
                <wp:posOffset>10177145</wp:posOffset>
              </wp:positionV>
              <wp:extent cx="73787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2025-21510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200000000000003pt;margin-top:801.35000000000002pt;width:58.100000000000001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2025-21510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3787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2025-21510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950000000000003pt;margin-top:789.89999999999998pt;width:58.100000000000001pt;height:8.6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2025-21510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682625</wp:posOffset>
              </wp:positionV>
              <wp:extent cx="7620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5000000000002pt;margin-top:53.75pt;width:6.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Heading #2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Body text (3)"/>
    <w:basedOn w:val="Normal"/>
    <w:link w:val="CharStyle17"/>
    <w:pPr>
      <w:widowControl w:val="0"/>
      <w:shd w:val="clear" w:color="auto" w:fill="auto"/>
      <w:spacing w:after="21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Heading #2"/>
    <w:basedOn w:val="Normal"/>
    <w:link w:val="CharStyle24"/>
    <w:pPr>
      <w:widowControl w:val="0"/>
      <w:shd w:val="clear" w:color="auto" w:fill="auto"/>
      <w:spacing w:after="31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