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rStyle w:val="CharStyle3"/>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Амурской области</w:t>
      </w:r>
    </w:p>
    <w:p>
      <w:pPr>
        <w:pStyle w:val="Style2"/>
        <w:keepNext w:val="0"/>
        <w:keepLines w:val="0"/>
        <w:widowControl w:val="0"/>
        <w:shd w:val="clear" w:color="auto" w:fill="auto"/>
        <w:bidi w:val="0"/>
        <w:spacing w:before="0" w:after="0" w:line="240" w:lineRule="auto"/>
        <w:ind w:left="0" w:right="0" w:firstLine="0"/>
        <w:jc w:val="center"/>
      </w:pPr>
      <w:r>
        <w:rPr>
          <w:rStyle w:val="CharStyle3"/>
        </w:rPr>
        <w:t>ул. Амурская, 150, г. Благовещенск</w:t>
      </w:r>
    </w:p>
    <w:p>
      <w:pPr>
        <w:pStyle w:val="Style2"/>
        <w:keepNext w:val="0"/>
        <w:keepLines w:val="0"/>
        <w:widowControl w:val="0"/>
        <w:shd w:val="clear" w:color="auto" w:fill="auto"/>
        <w:bidi w:val="0"/>
        <w:spacing w:before="0" w:after="0" w:line="240" w:lineRule="auto"/>
        <w:ind w:left="1140" w:right="0" w:firstLine="0"/>
        <w:jc w:val="left"/>
      </w:pPr>
      <w:r>
        <w:rPr>
          <w:rStyle w:val="CharStyle3"/>
        </w:rPr>
        <w:t>Амурская область, 675000</w:t>
      </w:r>
    </w:p>
    <w:p>
      <w:pPr>
        <w:pStyle w:val="Style2"/>
        <w:keepNext w:val="0"/>
        <w:keepLines w:val="0"/>
        <w:widowControl w:val="0"/>
        <w:shd w:val="clear" w:color="auto" w:fill="auto"/>
        <w:bidi w:val="0"/>
        <w:spacing w:before="0" w:after="0" w:line="240" w:lineRule="auto"/>
        <w:ind w:left="0" w:right="0" w:firstLine="0"/>
        <w:jc w:val="center"/>
      </w:pPr>
      <w:r>
        <w:rPr>
          <w:rStyle w:val="CharStyle3"/>
        </w:rPr>
        <w:t>тел. (4162) 52-00-07. факс (4162) 52-00-35</w:t>
      </w:r>
    </w:p>
    <w:p>
      <w:pPr>
        <w:pStyle w:val="Style2"/>
        <w:keepNext w:val="0"/>
        <w:keepLines w:val="0"/>
        <w:widowControl w:val="0"/>
        <w:shd w:val="clear" w:color="auto" w:fill="auto"/>
        <w:bidi w:val="0"/>
        <w:spacing w:before="0" w:after="0" w:line="240" w:lineRule="auto"/>
        <w:ind w:left="0" w:right="0" w:firstLine="0"/>
        <w:jc w:val="center"/>
      </w:pPr>
      <w:r>
        <w:rPr>
          <w:rStyle w:val="CharStyle3"/>
          <w:lang w:val="en-US" w:eastAsia="en-US"/>
        </w:rPr>
        <w:t xml:space="preserve">e-mail: </w:t>
      </w:r>
      <w:r>
        <w:fldChar w:fldCharType="begin"/>
      </w:r>
      <w:r>
        <w:rPr/>
        <w:instrText> HYPERLINK "mailto:to28@fas.gov.ru" </w:instrText>
      </w:r>
      <w:r>
        <w:fldChar w:fldCharType="separate"/>
      </w:r>
      <w:r>
        <w:rPr>
          <w:rStyle w:val="CharStyle3"/>
          <w:lang w:val="en-US" w:eastAsia="en-US"/>
        </w:rPr>
        <w:t>to28@fas.gov.ru</w:t>
      </w:r>
      <w:r>
        <w:fldChar w:fldCharType="end"/>
      </w:r>
    </w:p>
    <w:p>
      <w:pPr>
        <w:pStyle w:val="Style10"/>
        <w:keepNext/>
        <w:keepLines/>
        <w:widowControl w:val="0"/>
        <w:shd w:val="clear" w:color="auto" w:fill="auto"/>
        <w:tabs>
          <w:tab w:pos="1838" w:val="left"/>
        </w:tabs>
        <w:bidi w:val="0"/>
        <w:spacing w:before="0" w:line="240" w:lineRule="auto"/>
        <w:ind w:left="0" w:right="0" w:firstLine="0"/>
        <w:jc w:val="both"/>
      </w:pPr>
      <w:bookmarkStart w:id="0" w:name="bookmark0"/>
      <w:r>
        <w:rPr>
          <w:rStyle w:val="CharStyle11"/>
          <w:u w:val="none"/>
        </w:rPr>
        <w:t>0</w:t>
      </w:r>
      <w:r>
        <w:fldChar w:fldCharType="begin"/>
      </w:r>
      <w:r>
        <w:rPr/>
        <w:instrText> HYPERLINK "file://f207ca94-a13c-4ba0-b72d-f018c9eed8f1/" </w:instrText>
      </w:r>
      <w:r>
        <w:fldChar w:fldCharType="separate"/>
      </w:r>
      <w:r>
        <w:rPr>
          <w:rStyle w:val="CharStyle11"/>
          <w:u w:val="none"/>
        </w:rPr>
        <w:t>5.</w:t>
      </w:r>
      <w:r>
        <w:rPr>
          <w:rStyle w:val="CharStyle11"/>
        </w:rPr>
        <w:t>09.2025</w:t>
      </w:r>
      <w:r>
        <w:rPr>
          <w:rStyle w:val="CharStyle11"/>
          <w:u w:val="none"/>
        </w:rPr>
        <w:tab/>
      </w:r>
      <w:r>
        <w:fldChar w:fldCharType="end"/>
      </w:r>
      <w:r>
        <w:rPr>
          <w:rStyle w:val="CharStyle11"/>
          <w:u w:val="none"/>
        </w:rPr>
        <w:t xml:space="preserve">№ </w:t>
      </w:r>
      <w:r>
        <w:rPr>
          <w:rStyle w:val="CharStyle11"/>
        </w:rPr>
        <w:t>МП/3389/2</w:t>
      </w:r>
      <w:r>
        <w:rPr>
          <w:rStyle w:val="CharStyle11"/>
          <w:u w:val="none"/>
        </w:rPr>
        <w:t>5</w:t>
      </w:r>
      <w:bookmarkEnd w:id="0"/>
    </w:p>
    <w:p>
      <w:pPr>
        <w:pStyle w:val="Style8"/>
        <w:keepNext w:val="0"/>
        <w:keepLines w:val="0"/>
        <w:widowControl w:val="0"/>
        <w:shd w:val="clear" w:color="auto" w:fill="auto"/>
        <w:bidi w:val="0"/>
        <w:spacing w:before="0" w:after="620" w:line="271"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left"/>
        <w:rPr>
          <w:sz w:val="24"/>
          <w:szCs w:val="24"/>
        </w:rPr>
      </w:pPr>
      <w:r>
        <w:rPr>
          <w:rStyle w:val="CharStyle15"/>
          <w:sz w:val="24"/>
          <w:szCs w:val="24"/>
        </w:rPr>
        <w:t>Решение по делам № 028/06/106 638/2025, № 028/06/106-639/2025</w:t>
      </w:r>
    </w:p>
    <w:p>
      <w:pPr>
        <w:pStyle w:val="Style14"/>
        <w:keepNext w:val="0"/>
        <w:keepLines w:val="0"/>
        <w:widowControl w:val="0"/>
        <w:shd w:val="clear" w:color="auto" w:fill="auto"/>
        <w:bidi w:val="0"/>
        <w:spacing w:before="0" w:after="260" w:line="240" w:lineRule="auto"/>
        <w:ind w:left="0" w:right="0" w:firstLine="0"/>
        <w:jc w:val="left"/>
      </w:pPr>
      <w:r>
        <w:rPr>
          <w:rStyle w:val="CharStyle15"/>
        </w:rPr>
        <w:t xml:space="preserve">Общество с ограниченной ответственностью "Городские Технологии" </w:t>
      </w:r>
      <w:r>
        <w:fldChar w:fldCharType="begin"/>
      </w:r>
      <w:r>
        <w:rPr/>
        <w:instrText> HYPERLINK "mailto:rir-smart@rosatom.ru" </w:instrText>
      </w:r>
      <w:r>
        <w:fldChar w:fldCharType="separate"/>
      </w:r>
      <w:r>
        <w:rPr>
          <w:rStyle w:val="CharStyle15"/>
          <w:lang w:val="en-US" w:eastAsia="en-US"/>
        </w:rPr>
        <w:t>rir-smart@rosatom.ru</w:t>
      </w:r>
      <w:r>
        <w:fldChar w:fldCharType="end"/>
      </w:r>
      <w:r>
        <w:rPr>
          <w:rStyle w:val="CharStyle15"/>
          <w:lang w:val="en-US" w:eastAsia="en-US"/>
        </w:rPr>
        <w:t xml:space="preserve">; </w:t>
      </w:r>
      <w:r>
        <w:fldChar w:fldCharType="begin"/>
      </w:r>
      <w:r>
        <w:rPr/>
        <w:instrText> HYPERLINK "mailto:postavschik@rusatom-utilities.ru" </w:instrText>
      </w:r>
      <w:r>
        <w:fldChar w:fldCharType="separate"/>
      </w:r>
      <w:r>
        <w:rPr>
          <w:rStyle w:val="CharStyle15"/>
          <w:lang w:val="en-US" w:eastAsia="en-US"/>
        </w:rPr>
        <w:t>postavschik@rusatom- utilities.ru</w:t>
      </w:r>
      <w:r>
        <w:fldChar w:fldCharType="end"/>
      </w:r>
    </w:p>
    <w:p>
      <w:pPr>
        <w:pStyle w:val="Style14"/>
        <w:keepNext w:val="0"/>
        <w:keepLines w:val="0"/>
        <w:widowControl w:val="0"/>
        <w:shd w:val="clear" w:color="auto" w:fill="auto"/>
        <w:bidi w:val="0"/>
        <w:spacing w:before="0" w:after="0" w:line="240" w:lineRule="auto"/>
        <w:ind w:left="0" w:right="0" w:firstLine="0"/>
        <w:jc w:val="left"/>
      </w:pPr>
      <w:r>
        <w:rPr>
          <w:rStyle w:val="CharStyle15"/>
        </w:rPr>
        <w:t>Управление государственного заказа</w:t>
      </w:r>
    </w:p>
    <w:p>
      <w:pPr>
        <w:pStyle w:val="Style14"/>
        <w:keepNext w:val="0"/>
        <w:keepLines w:val="0"/>
        <w:widowControl w:val="0"/>
        <w:shd w:val="clear" w:color="auto" w:fill="auto"/>
        <w:bidi w:val="0"/>
        <w:spacing w:before="0" w:after="260" w:line="240" w:lineRule="auto"/>
        <w:ind w:left="0" w:right="0" w:firstLine="0"/>
        <w:jc w:val="left"/>
      </w:pPr>
      <w:r>
        <w:rPr>
          <w:rStyle w:val="CharStyle15"/>
        </w:rPr>
        <w:t xml:space="preserve">Амурской области </w:t>
      </w:r>
      <w:r>
        <w:fldChar w:fldCharType="begin"/>
      </w:r>
      <w:r>
        <w:rPr/>
        <w:instrText> HYPERLINK "mailto:azk@gz.amurobl.ru" </w:instrText>
      </w:r>
      <w:r>
        <w:fldChar w:fldCharType="separate"/>
      </w:r>
      <w:r>
        <w:rPr>
          <w:rStyle w:val="CharStyle15"/>
          <w:lang w:val="en-US" w:eastAsia="en-US"/>
        </w:rPr>
        <w:t>azk@gz.amurobl.ru</w:t>
      </w:r>
      <w:r>
        <w:fldChar w:fldCharType="end"/>
      </w:r>
    </w:p>
    <w:p>
      <w:pPr>
        <w:pStyle w:val="Style14"/>
        <w:keepNext w:val="0"/>
        <w:keepLines w:val="0"/>
        <w:widowControl w:val="0"/>
        <w:shd w:val="clear" w:color="auto" w:fill="auto"/>
        <w:bidi w:val="0"/>
        <w:spacing w:before="0" w:after="260" w:line="240" w:lineRule="auto"/>
        <w:ind w:left="0" w:right="0" w:firstLine="0"/>
        <w:jc w:val="left"/>
      </w:pPr>
      <w:r>
        <w:rPr>
          <w:rStyle w:val="CharStyle15"/>
        </w:rPr>
        <w:t xml:space="preserve">Общество с ограниченной ответственностью "Евро Инвест" </w:t>
      </w:r>
      <w:r>
        <w:fldChar w:fldCharType="begin"/>
      </w:r>
      <w:r>
        <w:rPr/>
        <w:instrText> HYPERLINK "mailto:ooo.0euroinvest@gmail.com" </w:instrText>
      </w:r>
      <w:r>
        <w:fldChar w:fldCharType="separate"/>
      </w:r>
      <w:r>
        <w:rPr>
          <w:rStyle w:val="CharStyle15"/>
          <w:lang w:val="en-US" w:eastAsia="en-US"/>
        </w:rPr>
        <w:t>ooo.0euroinvest@gmail.com</w:t>
      </w:r>
      <w:r>
        <w:fldChar w:fldCharType="end"/>
      </w:r>
    </w:p>
    <w:p>
      <w:pPr>
        <w:pStyle w:val="Style14"/>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1162" w:right="647" w:bottom="1212" w:left="1135" w:header="0" w:footer="3" w:gutter="0"/>
          <w:pgNumType w:start="1"/>
          <w:cols w:num="2" w:space="720" w:equalWidth="0">
            <w:col w:w="4272" w:space="994"/>
            <w:col w:w="4853"/>
          </w:cols>
          <w:noEndnote/>
          <w:titlePg/>
          <w:rtlGutter w:val="0"/>
          <w:docGrid w:linePitch="360"/>
        </w:sectPr>
      </w:pPr>
      <w:r>
        <w:rPr>
          <w:rStyle w:val="CharStyle15"/>
        </w:rPr>
        <w:t xml:space="preserve">Государственному казенному учреждению Управлению автомобильных дорог Амурской области «Амурупрадор» </w:t>
      </w:r>
      <w:r>
        <w:fldChar w:fldCharType="begin"/>
      </w:r>
      <w:r>
        <w:rPr/>
        <w:instrText> HYPERLINK "mailto:mail@amurdor.ru" </w:instrText>
      </w:r>
      <w:r>
        <w:fldChar w:fldCharType="separate"/>
      </w:r>
      <w:r>
        <w:rPr>
          <w:rStyle w:val="CharStyle15"/>
          <w:lang w:val="en-US" w:eastAsia="en-US"/>
        </w:rPr>
        <w:t>mail@amurdor.ru</w:t>
      </w:r>
      <w:r>
        <w:fldChar w:fldCharType="end"/>
      </w:r>
      <w:r>
        <w:rPr>
          <w:rStyle w:val="CharStyle15"/>
          <w:lang w:val="en-US" w:eastAsia="en-US"/>
        </w:rPr>
        <w:t xml:space="preserve"> </w:t>
      </w:r>
      <w:r>
        <w:rPr>
          <w:rStyle w:val="CharStyle15"/>
        </w:rPr>
        <w:t xml:space="preserve">, </w:t>
      </w:r>
      <w:r>
        <w:fldChar w:fldCharType="begin"/>
      </w:r>
      <w:r>
        <w:rPr/>
        <w:instrText> HYPERLINK "mailto:rdm@amurdor.ru" </w:instrText>
      </w:r>
      <w:r>
        <w:fldChar w:fldCharType="separate"/>
      </w:r>
      <w:r>
        <w:rPr>
          <w:rStyle w:val="CharStyle15"/>
          <w:lang w:val="en-US" w:eastAsia="en-US"/>
        </w:rPr>
        <w:t>rdm@amurdor.ru</w:t>
      </w:r>
      <w:r>
        <w:fldChar w:fldCharType="end"/>
      </w:r>
      <w:r>
        <w:rPr>
          <w:rStyle w:val="CharStyle15"/>
          <w:lang w:val="en-US" w:eastAsia="en-US"/>
        </w:rPr>
        <w:t xml:space="preserve">, </w:t>
      </w:r>
      <w:r>
        <w:fldChar w:fldCharType="begin"/>
      </w:r>
      <w:r>
        <w:rPr/>
        <w:instrText> HYPERLINK "mailto:klimov@amurdor.ru" </w:instrText>
      </w:r>
      <w:r>
        <w:fldChar w:fldCharType="separate"/>
      </w:r>
      <w:r>
        <w:rPr>
          <w:rStyle w:val="CharStyle15"/>
          <w:lang w:val="en-US" w:eastAsia="en-US"/>
        </w:rPr>
        <w:t>klimov@amurdor.ru</w:t>
      </w:r>
      <w:r>
        <w:fldChar w:fldCharType="end"/>
      </w:r>
    </w:p>
    <w:p>
      <w:pPr>
        <w:widowControl w:val="0"/>
        <w:spacing w:line="78" w:lineRule="exact"/>
        <w:rPr>
          <w:sz w:val="6"/>
          <w:szCs w:val="6"/>
        </w:rPr>
      </w:pPr>
    </w:p>
    <w:p>
      <w:pPr>
        <w:widowControl w:val="0"/>
        <w:spacing w:line="1" w:lineRule="exact"/>
        <w:sectPr>
          <w:footnotePr>
            <w:pos w:val="pageBottom"/>
            <w:numFmt w:val="decimal"/>
            <w:numRestart w:val="continuous"/>
          </w:footnotePr>
          <w:type w:val="continuous"/>
          <w:pgSz w:w="11900" w:h="16840"/>
          <w:pgMar w:top="1340" w:right="0" w:bottom="1234"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rStyle w:val="CharStyle15"/>
          <w:b/>
          <w:bCs/>
        </w:rPr>
        <w:t>РЕШЕНИЕ</w:t>
      </w:r>
    </w:p>
    <w:p>
      <w:pPr>
        <w:pStyle w:val="Style14"/>
        <w:keepNext w:val="0"/>
        <w:keepLines w:val="0"/>
        <w:widowControl w:val="0"/>
        <w:shd w:val="clear" w:color="auto" w:fill="auto"/>
        <w:bidi w:val="0"/>
        <w:spacing w:before="0" w:after="100" w:line="240" w:lineRule="auto"/>
        <w:ind w:left="0" w:right="0" w:firstLine="0"/>
        <w:jc w:val="center"/>
      </w:pPr>
      <w:r>
        <w:rPr>
          <w:rStyle w:val="CharStyle15"/>
          <w:b/>
          <w:bCs/>
        </w:rPr>
        <w:t>по делам № 028/06/106-638/2025, № 028/06/106-639/2025</w:t>
      </w:r>
    </w:p>
    <w:p>
      <w:pPr>
        <w:pStyle w:val="Style14"/>
        <w:keepNext w:val="0"/>
        <w:keepLines w:val="0"/>
        <w:widowControl w:val="0"/>
        <w:shd w:val="clear" w:color="auto" w:fill="auto"/>
        <w:tabs>
          <w:tab w:pos="8381" w:val="left"/>
        </w:tabs>
        <w:bidi w:val="0"/>
        <w:spacing w:before="0" w:after="0" w:line="240" w:lineRule="auto"/>
        <w:ind w:left="0" w:right="0" w:firstLine="0"/>
        <w:jc w:val="both"/>
      </w:pPr>
      <w:r>
        <w:rPr>
          <w:rStyle w:val="CharStyle15"/>
        </w:rPr>
        <w:t>02.09.2025</w:t>
        <w:tab/>
        <w:t>г. Благовещенск</w:t>
      </w:r>
    </w:p>
    <w:p>
      <w:pPr>
        <w:pStyle w:val="Style14"/>
        <w:keepNext w:val="0"/>
        <w:keepLines w:val="0"/>
        <w:widowControl w:val="0"/>
        <w:shd w:val="clear" w:color="auto" w:fill="auto"/>
        <w:bidi w:val="0"/>
        <w:spacing w:before="0" w:after="100" w:line="240" w:lineRule="auto"/>
        <w:ind w:left="0" w:right="0" w:firstLine="0"/>
        <w:jc w:val="both"/>
      </w:pPr>
      <w:r>
        <w:rPr>
          <w:rStyle w:val="CharStyle15"/>
        </w:rPr>
        <w:t>(в полном объеме изготовлено 05.09.2025)</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управления Федеральной антимонопольной службы по Амурской области (далее - Амурское УФАС России) по контролю в сфере закупок в составе: Парнищевой М.М. – председателя Комиссии, заместителя руководителя управления – начальника отдела контроля закупок; Левченко И.И. – ведущего специалиста-эксперта отдела контроля закупок; Ивановой Г.С. – ведущего специалиста-эксперта отдела контроля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в присутствии представителей: от заказчика – Старицыной М.Н., действующей на основании доверенности от 13.05.2025 № 02-386, Галинковской Е.А., действующей на основании доверенности от 25.12.2024 № 02-337,</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от уполномоченного органа – Гавриленко Ю.В., действующей на основании доверенности от 14.05.2025 № 05-07/273,</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от общества с ограниченной ответственностью «Евро Инвест» (далее – ООО «Евро Инвест») – Саченко И.А., действующего на основании доверенности от 30.08.2025 № 45,</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от общества с ограниченной ответственностью «Городские технологии» (далее – ООО «Городские технологии») – Андрющенко А.В., действующей на основании доверенности от 12.05.2025 № ГТ-39-25</w:t>
      </w:r>
    </w:p>
    <w:p>
      <w:pPr>
        <w:pStyle w:val="Style14"/>
        <w:keepNext w:val="0"/>
        <w:keepLines w:val="0"/>
        <w:widowControl w:val="0"/>
        <w:shd w:val="clear" w:color="auto" w:fill="auto"/>
        <w:bidi w:val="0"/>
        <w:spacing w:before="0" w:after="0" w:line="240" w:lineRule="auto"/>
        <w:ind w:left="0" w:right="0" w:firstLine="720"/>
        <w:jc w:val="both"/>
      </w:pPr>
      <w:r>
        <w:rPr>
          <w:rStyle w:val="CharStyle15"/>
        </w:rPr>
        <w:t>(лицам, присутствующим на заседании комиссии, разъяснены права, порядок рассмотрения дела, сообщено о ведении аудиозаписи заседания Комиссии Амурского УФАС России),</w:t>
      </w:r>
    </w:p>
    <w:p>
      <w:pPr>
        <w:pStyle w:val="Style14"/>
        <w:keepNext w:val="0"/>
        <w:keepLines w:val="0"/>
        <w:widowControl w:val="0"/>
        <w:shd w:val="clear" w:color="auto" w:fill="auto"/>
        <w:bidi w:val="0"/>
        <w:spacing w:before="0" w:after="260" w:line="240" w:lineRule="auto"/>
        <w:ind w:left="0" w:right="0" w:firstLine="720"/>
        <w:jc w:val="both"/>
      </w:pPr>
      <w:r>
        <w:rPr>
          <w:rStyle w:val="CharStyle15"/>
        </w:rPr>
        <w:t>заседание Комиссии Амурского УФАС России осуществлено в дистанционном режиме, без очного участия представителей заинтересованных сторон, посредством</w:t>
      </w:r>
    </w:p>
    <w:p>
      <w:pPr>
        <w:pStyle w:val="Style18"/>
        <w:keepNext/>
        <w:keepLines/>
        <w:widowControl w:val="0"/>
        <w:shd w:val="clear" w:color="auto" w:fill="auto"/>
        <w:bidi w:val="0"/>
        <w:spacing w:before="0" w:line="240" w:lineRule="auto"/>
        <w:ind w:left="0" w:right="0" w:firstLine="0"/>
        <w:jc w:val="left"/>
      </w:pPr>
      <w:bookmarkStart w:id="2" w:name="bookmark2"/>
      <w:r>
        <w:rPr>
          <w:rStyle w:val="CharStyle19"/>
        </w:rPr>
        <w:t>IIIIIIIIIIIIIIIIIIIIIII</w:t>
      </w:r>
      <w:bookmarkEnd w:id="2"/>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плагина </w:t>
      </w:r>
      <w:r>
        <w:rPr>
          <w:rStyle w:val="CharStyle15"/>
          <w:lang w:val="en-US" w:eastAsia="en-US"/>
        </w:rPr>
        <w:t xml:space="preserve">«TrueConf» </w:t>
      </w:r>
      <w:r>
        <w:rPr>
          <w:rStyle w:val="CharStyle15"/>
        </w:rPr>
        <w:t>в режиме видеоконференцсвязи,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рассмотрела поступившие в Амурское УФАС России жалобы от ООО «Евро Инвест», ООО «Городские технологии» на действия комиссии государственного заказчика </w:t>
      </w:r>
      <w:r>
        <w:rPr>
          <w:rStyle w:val="CharStyle15"/>
          <w:lang w:val="en-US" w:eastAsia="en-US"/>
        </w:rPr>
        <w:t xml:space="preserve">– </w:t>
      </w:r>
      <w:r>
        <w:rPr>
          <w:rStyle w:val="CharStyle15"/>
        </w:rPr>
        <w:t xml:space="preserve">государственного казенного учреждения управление автомобильных дорог Амурской области «Амурупрадор» (далее </w:t>
      </w:r>
      <w:r>
        <w:rPr>
          <w:rStyle w:val="CharStyle15"/>
          <w:lang w:val="en-US" w:eastAsia="en-US"/>
        </w:rPr>
        <w:t xml:space="preserve">- </w:t>
      </w:r>
      <w:r>
        <w:rPr>
          <w:rStyle w:val="CharStyle15"/>
        </w:rPr>
        <w:t xml:space="preserve">ГКУ «Амурупрадор») и уполномоченного органа </w:t>
      </w:r>
      <w:r>
        <w:rPr>
          <w:rStyle w:val="CharStyle15"/>
          <w:lang w:val="en-US" w:eastAsia="en-US"/>
        </w:rPr>
        <w:t xml:space="preserve">– </w:t>
      </w:r>
      <w:r>
        <w:rPr>
          <w:rStyle w:val="CharStyle15"/>
        </w:rPr>
        <w:t xml:space="preserve">управления государственного заказа Амурской области при осуществлении закупки в форме электронного аукциона на поставку и установку комплексов автоматической фотовидеофиксации нарушений Правил дорожного движения Российской Федерации, объявленного извещением от </w:t>
      </w:r>
      <w:r>
        <w:rPr>
          <w:rStyle w:val="CharStyle15"/>
          <w:lang w:val="en-US" w:eastAsia="en-US"/>
        </w:rPr>
        <w:t xml:space="preserve">13.08.2024 № 0123200000325001559 </w:t>
      </w:r>
      <w:r>
        <w:rPr>
          <w:rStyle w:val="CharStyle15"/>
        </w:rPr>
        <w:t xml:space="preserve">на электронной площадке РТС-тендер </w:t>
      </w:r>
      <w:r>
        <w:fldChar w:fldCharType="begin"/>
      </w:r>
      <w:r>
        <w:rPr/>
        <w:instrText> HYPERLINK "http://www.rts-tender.ru" </w:instrText>
      </w:r>
      <w:r>
        <w:fldChar w:fldCharType="separate"/>
      </w:r>
      <w:r>
        <w:rPr>
          <w:rStyle w:val="CharStyle15"/>
          <w:lang w:val="en-US" w:eastAsia="en-US"/>
        </w:rPr>
        <w:t>http://www.rts-tender.ru</w:t>
      </w:r>
      <w:r>
        <w:fldChar w:fldCharType="end"/>
      </w:r>
      <w:r>
        <w:rPr>
          <w:rStyle w:val="CharStyle15"/>
          <w:lang w:val="en-US" w:eastAsia="en-US"/>
        </w:rPr>
        <w:t xml:space="preserve">, </w:t>
      </w:r>
      <w:r>
        <w:rPr>
          <w:rStyle w:val="CharStyle15"/>
        </w:rPr>
        <w:t xml:space="preserve">выразившиеся, по мнению заявителя, в нарушении положений Федерального закона от </w:t>
      </w:r>
      <w:r>
        <w:rPr>
          <w:rStyle w:val="CharStyle15"/>
          <w:lang w:val="en-US" w:eastAsia="en-US"/>
        </w:rPr>
        <w:t xml:space="preserve">05.04.2013 № </w:t>
      </w:r>
      <w:r>
        <w:rPr>
          <w:rStyle w:val="CharStyle15"/>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Закон о контрактной системе, Федеральный закон).</w:t>
      </w:r>
    </w:p>
    <w:p>
      <w:pPr>
        <w:pStyle w:val="Style14"/>
        <w:keepNext w:val="0"/>
        <w:keepLines w:val="0"/>
        <w:widowControl w:val="0"/>
        <w:shd w:val="clear" w:color="auto" w:fill="auto"/>
        <w:bidi w:val="0"/>
        <w:spacing w:before="0" w:after="0" w:line="240" w:lineRule="auto"/>
        <w:ind w:left="0" w:right="0" w:firstLine="720"/>
        <w:jc w:val="both"/>
      </w:pPr>
      <w:r>
        <w:rPr>
          <w:rStyle w:val="CharStyle15"/>
        </w:rPr>
        <w:t>Из жалобы заявителей следует, что заказчик неправомерно отклонил заявки ООО «Евро Инвест», ООО «Городские технологии», поскольку заявки соответствовали требованиям положений извещения.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Представители заказчика и уполномоченного органа с доводами, заявленными в жалобах, не согласились. Представили письменные возражения, которые приобщены к материалам дела. Просят признать жалобы необоснованными.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Комиссия Амурского УФАС России, рассмотрев жалобы, исследовав материалы дела, проведя в соответствии с частями </w:t>
      </w:r>
      <w:r>
        <w:rPr>
          <w:rStyle w:val="CharStyle15"/>
          <w:lang w:val="en-US" w:eastAsia="en-US"/>
        </w:rPr>
        <w:t xml:space="preserve">3, 15 </w:t>
      </w:r>
      <w:r>
        <w:rPr>
          <w:rStyle w:val="CharStyle15"/>
        </w:rPr>
        <w:t xml:space="preserve">статьи </w:t>
      </w:r>
      <w:r>
        <w:rPr>
          <w:rStyle w:val="CharStyle15"/>
          <w:lang w:val="en-US" w:eastAsia="en-US"/>
        </w:rPr>
        <w:t xml:space="preserve">99 </w:t>
      </w:r>
      <w:r>
        <w:rPr>
          <w:rStyle w:val="CharStyle15"/>
        </w:rPr>
        <w:t>Закона о контрактной системе внеплановую проверку,</w:t>
      </w:r>
    </w:p>
    <w:p>
      <w:pPr>
        <w:pStyle w:val="Style14"/>
        <w:keepNext w:val="0"/>
        <w:keepLines w:val="0"/>
        <w:widowControl w:val="0"/>
        <w:shd w:val="clear" w:color="auto" w:fill="auto"/>
        <w:bidi w:val="0"/>
        <w:spacing w:before="0" w:after="10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240" w:lineRule="auto"/>
        <w:ind w:left="0" w:right="0" w:firstLine="720"/>
        <w:jc w:val="both"/>
      </w:pPr>
      <w:r>
        <w:rPr>
          <w:rStyle w:val="CharStyle15"/>
          <w:lang w:val="en-US" w:eastAsia="en-US"/>
        </w:rPr>
        <w:t xml:space="preserve">13.08.2024 </w:t>
      </w:r>
      <w:r>
        <w:rPr>
          <w:rStyle w:val="CharStyle15"/>
        </w:rPr>
        <w:t xml:space="preserve">уполномоченным органом </w:t>
      </w:r>
      <w:r>
        <w:rPr>
          <w:rStyle w:val="CharStyle15"/>
          <w:lang w:val="en-US" w:eastAsia="en-US"/>
        </w:rPr>
        <w:t xml:space="preserve">– </w:t>
      </w:r>
      <w:r>
        <w:rPr>
          <w:rStyle w:val="CharStyle15"/>
        </w:rPr>
        <w:t xml:space="preserve">управлением государственного заказа Амурской области по заявке государственного заказчика </w:t>
      </w:r>
      <w:r>
        <w:rPr>
          <w:rStyle w:val="CharStyle15"/>
          <w:lang w:val="en-US" w:eastAsia="en-US"/>
        </w:rPr>
        <w:t xml:space="preserve">– </w:t>
      </w:r>
      <w:r>
        <w:rPr>
          <w:rStyle w:val="CharStyle15"/>
        </w:rPr>
        <w:t xml:space="preserve">ГКУ «Амурупрадор» на электронной площадке РТС-тендер </w:t>
      </w:r>
      <w:r>
        <w:fldChar w:fldCharType="begin"/>
      </w:r>
      <w:r>
        <w:rPr/>
        <w:instrText> HYPERLINK "http://www.rts-tender.ru" </w:instrText>
      </w:r>
      <w:r>
        <w:fldChar w:fldCharType="separate"/>
      </w:r>
      <w:r>
        <w:rPr>
          <w:rStyle w:val="CharStyle15"/>
          <w:lang w:val="en-US" w:eastAsia="en-US"/>
        </w:rPr>
        <w:t>http://www.rts-tender.ru</w:t>
      </w:r>
      <w:r>
        <w:fldChar w:fldCharType="end"/>
      </w:r>
      <w:r>
        <w:rPr>
          <w:rStyle w:val="CharStyle15"/>
          <w:lang w:val="en-US" w:eastAsia="en-US"/>
        </w:rPr>
        <w:t xml:space="preserve"> </w:t>
      </w:r>
      <w:r>
        <w:rPr>
          <w:rStyle w:val="CharStyle15"/>
        </w:rPr>
        <w:t xml:space="preserve">опубликовано извещение </w:t>
      </w:r>
      <w:r>
        <w:rPr>
          <w:rStyle w:val="CharStyle15"/>
          <w:lang w:val="en-US" w:eastAsia="en-US"/>
        </w:rPr>
        <w:t xml:space="preserve">№ 0123200000325001559 </w:t>
      </w:r>
      <w:r>
        <w:rPr>
          <w:rStyle w:val="CharStyle15"/>
        </w:rPr>
        <w:t>на поставку и установку комплексов автоматической фотовидеофиксации нарушений Правил дорожного движения Российской Федерации.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Соответствующая информация размещена на официальном сайте Единой информационной системы в сфере закупок </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Начальная (максимальная) цена контракта установлена в размере </w:t>
      </w:r>
      <w:r>
        <w:rPr>
          <w:rStyle w:val="CharStyle15"/>
          <w:lang w:val="en-US" w:eastAsia="en-US"/>
        </w:rPr>
        <w:t xml:space="preserve">164 999 999,98 </w:t>
      </w:r>
      <w:r>
        <w:rPr>
          <w:rStyle w:val="CharStyle15"/>
        </w:rPr>
        <w:t>рублей.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Дата и время окончания срока подачи заявок </w:t>
      </w:r>
      <w:r>
        <w:rPr>
          <w:rStyle w:val="CharStyle15"/>
          <w:lang w:val="en-US" w:eastAsia="en-US"/>
        </w:rPr>
        <w:t xml:space="preserve">– 21.08.2025, </w:t>
      </w:r>
      <w:r>
        <w:rPr>
          <w:rStyle w:val="CharStyle15"/>
        </w:rPr>
        <w:t xml:space="preserve">дата проведения процедуры подачи предложений о цене контракта либо о сумме цен единиц товара, работы, услуги </w:t>
      </w:r>
      <w:r>
        <w:rPr>
          <w:rStyle w:val="CharStyle15"/>
          <w:lang w:val="en-US" w:eastAsia="en-US"/>
        </w:rPr>
        <w:t xml:space="preserve">– 21.08.2025, </w:t>
      </w:r>
      <w:r>
        <w:rPr>
          <w:rStyle w:val="CharStyle15"/>
        </w:rPr>
        <w:t xml:space="preserve">дата подведения итогов определения поставщика (подрядчика, исполнителя) </w:t>
      </w:r>
      <w:r>
        <w:rPr>
          <w:rStyle w:val="CharStyle15"/>
          <w:lang w:val="en-US" w:eastAsia="en-US"/>
        </w:rPr>
        <w:t>– 25.08.2025.</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протоколу подведения итогов от </w:t>
      </w:r>
      <w:r>
        <w:rPr>
          <w:rStyle w:val="CharStyle15"/>
          <w:lang w:val="en-US" w:eastAsia="en-US"/>
        </w:rPr>
        <w:t xml:space="preserve">25.08.2025 </w:t>
      </w:r>
      <w:r>
        <w:rPr>
          <w:rStyle w:val="CharStyle15"/>
        </w:rPr>
        <w:t xml:space="preserve">заявка ООО «Евро Инвест» отклонена на основании пункта </w:t>
      </w:r>
      <w:r>
        <w:rPr>
          <w:rStyle w:val="CharStyle15"/>
          <w:lang w:val="en-US" w:eastAsia="en-US"/>
        </w:rPr>
        <w:t xml:space="preserve">2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непредставление информации и документов, предусмотренных п. </w:t>
      </w:r>
      <w:r>
        <w:rPr>
          <w:rStyle w:val="CharStyle15"/>
          <w:lang w:val="en-US" w:eastAsia="en-US"/>
        </w:rPr>
        <w:t xml:space="preserve">2 </w:t>
      </w:r>
      <w:r>
        <w:rPr>
          <w:rStyle w:val="CharStyle15"/>
        </w:rPr>
        <w:t xml:space="preserve">ч. </w:t>
      </w:r>
      <w:r>
        <w:rPr>
          <w:rStyle w:val="CharStyle15"/>
          <w:lang w:val="en-US" w:eastAsia="en-US"/>
        </w:rPr>
        <w:t xml:space="preserve">6 </w:t>
      </w:r>
      <w:r>
        <w:rPr>
          <w:rStyle w:val="CharStyle15"/>
        </w:rPr>
        <w:t xml:space="preserve">ст. </w:t>
      </w:r>
      <w:r>
        <w:rPr>
          <w:rStyle w:val="CharStyle15"/>
          <w:lang w:val="en-US" w:eastAsia="en-US"/>
        </w:rPr>
        <w:t xml:space="preserve">43 </w:t>
      </w:r>
      <w:r>
        <w:rPr>
          <w:rStyle w:val="CharStyle15"/>
        </w:rPr>
        <w:t>Закона о контрактной системе, несоответствие такой информации и документов требованиям, установленным в извещении об осуществлении закупки, а именно: в заявке участника закупки отсутствуют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юридического лица. Также основанием для отклонения заявки стало, непредставление информации и документов, предусмотренных пунктами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а именно: участником закупки не представлены документы, подтверждающие соответствие участника закупки дополнительным требованиям, установленным в соответствии с частью </w:t>
      </w:r>
      <w:r>
        <w:rPr>
          <w:rStyle w:val="CharStyle15"/>
          <w:lang w:val="en-US" w:eastAsia="en-US"/>
        </w:rPr>
        <w:t xml:space="preserve">2.1 </w:t>
      </w:r>
      <w:r>
        <w:rPr>
          <w:rStyle w:val="CharStyle15"/>
        </w:rPr>
        <w:t xml:space="preserve">статьи </w:t>
      </w:r>
      <w:r>
        <w:rPr>
          <w:rStyle w:val="CharStyle15"/>
          <w:lang w:val="en-US" w:eastAsia="en-US"/>
        </w:rPr>
        <w:t xml:space="preserve">31 </w:t>
      </w:r>
      <w:r>
        <w:rPr>
          <w:rStyle w:val="CharStyle15"/>
        </w:rPr>
        <w:t xml:space="preserve">Закона о контрактной системе (участником закупки предоставлен контракт с реестровым номером </w:t>
      </w:r>
      <w:r>
        <w:rPr>
          <w:rStyle w:val="CharStyle15"/>
          <w:lang w:val="en-US" w:eastAsia="en-US"/>
        </w:rPr>
        <w:t xml:space="preserve">2753605002021000020, </w:t>
      </w:r>
      <w:r>
        <w:rPr>
          <w:rStyle w:val="CharStyle15"/>
        </w:rPr>
        <w:t xml:space="preserve">по которому предъявлены требования об уплате неустоек (штрафов, пеней) согласно информации, размещенной в ЕИС, имеется неоплаченная претензия </w:t>
      </w:r>
      <w:r>
        <w:rPr>
          <w:rStyle w:val="CharStyle15"/>
          <w:lang w:val="en-US" w:eastAsia="en-US"/>
        </w:rPr>
        <w:t xml:space="preserve">№ 09/2281-24 </w:t>
      </w:r>
      <w:r>
        <w:rPr>
          <w:rStyle w:val="CharStyle15"/>
        </w:rPr>
        <w:t xml:space="preserve">от </w:t>
      </w:r>
      <w:r>
        <w:rPr>
          <w:rStyle w:val="CharStyle15"/>
          <w:lang w:val="en-US" w:eastAsia="en-US"/>
        </w:rPr>
        <w:t xml:space="preserve">10.04.2024 </w:t>
      </w:r>
      <w:r>
        <w:rPr>
          <w:rStyle w:val="CharStyle15"/>
        </w:rPr>
        <w:t xml:space="preserve">на сумму </w:t>
      </w:r>
      <w:r>
        <w:rPr>
          <w:rStyle w:val="CharStyle15"/>
          <w:lang w:val="en-US" w:eastAsia="en-US"/>
        </w:rPr>
        <w:t xml:space="preserve">1 454 400,00 </w:t>
      </w:r>
      <w:r>
        <w:rPr>
          <w:rStyle w:val="CharStyle15"/>
        </w:rPr>
        <w:t>рублей).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Заявка ООО «Городские технологии» отклонена на основании пункта </w:t>
      </w:r>
      <w:r>
        <w:rPr>
          <w:rStyle w:val="CharStyle15"/>
          <w:lang w:val="en-US" w:eastAsia="en-US"/>
        </w:rPr>
        <w:t xml:space="preserve">2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непредставление информации и документов, предусмотренных пунктами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 xml:space="preserve">настоящего Федерального закона, а именно: участником закупки не представлены документы, подтверждающие соответствие участника закупки дополнительным требованиям, установленным в соответствии с ч.2.1 ст. </w:t>
      </w:r>
      <w:r>
        <w:rPr>
          <w:rStyle w:val="CharStyle15"/>
          <w:lang w:val="en-US" w:eastAsia="en-US"/>
        </w:rPr>
        <w:t xml:space="preserve">31 </w:t>
      </w:r>
      <w:r>
        <w:rPr>
          <w:rStyle w:val="CharStyle15"/>
        </w:rPr>
        <w:t xml:space="preserve">Закона о контрактной системе (участником закупки предоставлен контракт </w:t>
      </w:r>
      <w:r>
        <w:rPr>
          <w:rStyle w:val="CharStyle15"/>
          <w:lang w:val="en-US" w:eastAsia="en-US"/>
        </w:rPr>
        <w:t xml:space="preserve">№ 7/24- </w:t>
      </w:r>
      <w:r>
        <w:rPr>
          <w:rStyle w:val="CharStyle15"/>
        </w:rPr>
        <w:t xml:space="preserve">АГБО от </w:t>
      </w:r>
      <w:r>
        <w:rPr>
          <w:rStyle w:val="CharStyle15"/>
          <w:lang w:val="en-US" w:eastAsia="en-US"/>
        </w:rPr>
        <w:t xml:space="preserve">17.05.2024 </w:t>
      </w:r>
      <w:r>
        <w:rPr>
          <w:rStyle w:val="CharStyle15"/>
        </w:rPr>
        <w:t xml:space="preserve">на сумму </w:t>
      </w:r>
      <w:r>
        <w:rPr>
          <w:rStyle w:val="CharStyle15"/>
          <w:lang w:val="en-US" w:eastAsia="en-US"/>
        </w:rPr>
        <w:t xml:space="preserve">248 352 600,00 </w:t>
      </w:r>
      <w:r>
        <w:rPr>
          <w:rStyle w:val="CharStyle15"/>
        </w:rPr>
        <w:t xml:space="preserve">рублей, при этом приложены документы о приемке на сумму </w:t>
      </w:r>
      <w:r>
        <w:rPr>
          <w:rStyle w:val="CharStyle15"/>
          <w:lang w:val="en-US" w:eastAsia="en-US"/>
        </w:rPr>
        <w:t xml:space="preserve">216 903 400,00 </w:t>
      </w:r>
      <w:r>
        <w:rPr>
          <w:rStyle w:val="CharStyle15"/>
        </w:rPr>
        <w:t>рублей).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Комиссия Амурского УФАС России, исследовав материалы дела, приходит к следующим выводам.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Пунктом </w:t>
      </w:r>
      <w:r>
        <w:rPr>
          <w:rStyle w:val="CharStyle15"/>
          <w:lang w:val="en-US" w:eastAsia="en-US"/>
        </w:rPr>
        <w:t xml:space="preserve">3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Закона о контрактной системе установлено, что извещение об осуществлении закупки, если иное не предусмотрено настоящим Федеральным законом, должно содержать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подпунктами «б», «в», «ж»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следующие сведения:</w:t>
      </w:r>
    </w:p>
    <w:p>
      <w:pPr>
        <w:pStyle w:val="Style14"/>
        <w:keepNext w:val="0"/>
        <w:keepLines w:val="0"/>
        <w:widowControl w:val="0"/>
        <w:numPr>
          <w:ilvl w:val="0"/>
          <w:numId w:val="1"/>
        </w:numPr>
        <w:shd w:val="clear" w:color="auto" w:fill="auto"/>
        <w:tabs>
          <w:tab w:pos="1138" w:val="left"/>
        </w:tabs>
        <w:bidi w:val="0"/>
        <w:spacing w:before="0" w:after="0" w:line="240" w:lineRule="auto"/>
        <w:ind w:left="0" w:right="0" w:firstLine="720"/>
        <w:jc w:val="both"/>
      </w:pPr>
      <w:r>
        <w:rPr>
          <w:rStyle w:val="CharStyle15"/>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pPr>
        <w:pStyle w:val="Style14"/>
        <w:keepNext w:val="0"/>
        <w:keepLines w:val="0"/>
        <w:widowControl w:val="0"/>
        <w:numPr>
          <w:ilvl w:val="0"/>
          <w:numId w:val="1"/>
        </w:numPr>
        <w:shd w:val="clear" w:color="auto" w:fill="auto"/>
        <w:tabs>
          <w:tab w:pos="1138" w:val="left"/>
        </w:tabs>
        <w:bidi w:val="0"/>
        <w:spacing w:before="0" w:after="0" w:line="240" w:lineRule="auto"/>
        <w:ind w:left="0" w:right="0" w:firstLine="720"/>
        <w:jc w:val="both"/>
      </w:pPr>
      <w:r>
        <w:rPr>
          <w:rStyle w:val="CharStyle15"/>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4"/>
        <w:keepNext w:val="0"/>
        <w:keepLines w:val="0"/>
        <w:widowControl w:val="0"/>
        <w:numPr>
          <w:ilvl w:val="0"/>
          <w:numId w:val="1"/>
        </w:numPr>
        <w:shd w:val="clear" w:color="auto" w:fill="auto"/>
        <w:tabs>
          <w:tab w:pos="1138" w:val="left"/>
        </w:tabs>
        <w:bidi w:val="0"/>
        <w:spacing w:before="0" w:after="0" w:line="240" w:lineRule="auto"/>
        <w:ind w:left="0" w:right="0" w:firstLine="720"/>
        <w:jc w:val="both"/>
        <w:sectPr>
          <w:footnotePr>
            <w:pos w:val="pageBottom"/>
            <w:numFmt w:val="decimal"/>
            <w:numRestart w:val="continuous"/>
          </w:footnotePr>
          <w:type w:val="continuous"/>
          <w:pgSz w:w="11900" w:h="16840"/>
          <w:pgMar w:top="1340" w:right="537" w:bottom="1234" w:left="1101" w:header="0" w:footer="3" w:gutter="0"/>
          <w:cols w:space="720"/>
          <w:noEndnote/>
          <w:rtlGutter w:val="0"/>
          <w:docGrid w:linePitch="360"/>
        </w:sectPr>
      </w:pPr>
      <w:r>
        <w:rPr>
          <w:rStyle w:val="CharStyle15"/>
        </w:rPr>
        <w:t>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w:t>
      </w:r>
    </w:p>
    <w:p>
      <w:pPr>
        <w:pStyle w:val="Style14"/>
        <w:keepNext w:val="0"/>
        <w:keepLines w:val="0"/>
        <w:widowControl w:val="0"/>
        <w:shd w:val="clear" w:color="auto" w:fill="auto"/>
        <w:bidi w:val="0"/>
        <w:spacing w:before="0" w:after="0" w:line="240" w:lineRule="auto"/>
        <w:ind w:left="0" w:right="0" w:firstLine="0"/>
        <w:jc w:val="both"/>
      </w:pPr>
      <w:r>
        <w:rPr>
          <w:rStyle w:val="CharStyle15"/>
        </w:rPr>
        <w:t>предприниматель).</w:t>
      </w:r>
    </w:p>
    <w:p>
      <w:pPr>
        <w:pStyle w:val="Style14"/>
        <w:keepNext w:val="0"/>
        <w:keepLines w:val="0"/>
        <w:widowControl w:val="0"/>
        <w:shd w:val="clear" w:color="auto" w:fill="auto"/>
        <w:bidi w:val="0"/>
        <w:spacing w:before="0" w:after="0" w:line="240" w:lineRule="auto"/>
        <w:ind w:left="0" w:right="0" w:firstLine="720"/>
        <w:jc w:val="both"/>
      </w:pPr>
      <w:r>
        <w:rPr>
          <w:rStyle w:val="CharStyle15"/>
        </w:rPr>
        <w:t>Аналогичные требования установлены в извещении о проведении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пункта </w:t>
      </w:r>
      <w:r>
        <w:rPr>
          <w:rStyle w:val="CharStyle15"/>
          <w:lang w:val="en-US" w:eastAsia="en-US"/>
        </w:rPr>
        <w:t xml:space="preserve">2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при проведении электронных процедур, закрытых электронных процедур информация и документы, предусмотренные подпунктами "а" </w:t>
      </w:r>
      <w:r>
        <w:rPr>
          <w:rStyle w:val="CharStyle15"/>
          <w:lang w:val="en-US" w:eastAsia="en-US"/>
        </w:rPr>
        <w:t xml:space="preserve">- </w:t>
      </w:r>
      <w:r>
        <w:rPr>
          <w:rStyle w:val="CharStyle15"/>
        </w:rPr>
        <w:t xml:space="preserve">"л"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настоящей статьи, не включаются участником закупки в заявку на участие в закупке. Такие информация и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оператором специализированной электронной площадки путем информационного взаимодействия с единой информационной системой.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направление выписки из ЕГРЮЛ (предусмотренной подпунктом «ж»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не исключает обязанности направления информации, предусмотренной подпунктами «б», «в»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Частью </w:t>
      </w:r>
      <w:r>
        <w:rPr>
          <w:rStyle w:val="CharStyle15"/>
          <w:lang w:val="en-US" w:eastAsia="en-US"/>
        </w:rPr>
        <w:t xml:space="preserve">1 </w:t>
      </w:r>
      <w:r>
        <w:rPr>
          <w:rStyle w:val="CharStyle15"/>
        </w:rPr>
        <w:t xml:space="preserve">статьи </w:t>
      </w:r>
      <w:r>
        <w:rPr>
          <w:rStyle w:val="CharStyle15"/>
          <w:lang w:val="en-US" w:eastAsia="en-US"/>
        </w:rPr>
        <w:t xml:space="preserve">24.2 </w:t>
      </w:r>
      <w:r>
        <w:rPr>
          <w:rStyle w:val="CharStyle15"/>
        </w:rPr>
        <w:t>Закона о контрактной системе установлено, что регистрация участников закупок в единой информационной системе осуществляется в электронной форме на основании информации и документов в порядке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Правила регистрации участников закупок в единой информационной системе в сфере закупок и ведения единого реестра участников закупок утверждены постановлением Правительства Российской Федерации от </w:t>
      </w:r>
      <w:r>
        <w:rPr>
          <w:rStyle w:val="CharStyle15"/>
          <w:lang w:val="en-US" w:eastAsia="en-US"/>
        </w:rPr>
        <w:t xml:space="preserve">27.01.2022 № 60 </w:t>
      </w:r>
      <w:r>
        <w:rPr>
          <w:rStyle w:val="CharStyle15"/>
        </w:rPr>
        <w:t xml:space="preserve">(далее </w:t>
      </w:r>
      <w:r>
        <w:rPr>
          <w:rStyle w:val="CharStyle15"/>
          <w:lang w:val="en-US" w:eastAsia="en-US"/>
        </w:rPr>
        <w:t xml:space="preserve">– </w:t>
      </w:r>
      <w:r>
        <w:rPr>
          <w:rStyle w:val="CharStyle15"/>
        </w:rPr>
        <w:t xml:space="preserve">Правила </w:t>
      </w:r>
      <w:r>
        <w:rPr>
          <w:rStyle w:val="CharStyle15"/>
          <w:lang w:val="en-US" w:eastAsia="en-US"/>
        </w:rPr>
        <w:t xml:space="preserve">№ 60). </w:t>
      </w:r>
      <w:r>
        <w:rPr>
          <w:rStyle w:val="CharStyle15"/>
        </w:rPr>
        <w:t xml:space="preserve">Пунктом </w:t>
      </w:r>
      <w:r>
        <w:rPr>
          <w:rStyle w:val="CharStyle15"/>
          <w:lang w:val="en-US" w:eastAsia="en-US"/>
        </w:rPr>
        <w:t xml:space="preserve">12 </w:t>
      </w:r>
      <w:r>
        <w:rPr>
          <w:rStyle w:val="CharStyle15"/>
        </w:rPr>
        <w:t>данных Правил определен перечень информации и документов, необходимых для регистрации юридического лица, в том числе: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м) фамилия, имя, отчество (при наличии) и должность лица, имеющего право без доверенности действовать от имени юридического лица или иностранного юридического лица (либо руководителя аккредитованного филиала или представительства иностранного юридического лица), и идентификационный номер налогоплательщика (при наличии);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о)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юридического лица) членов коллегиального исполнительного органа (при наличии);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 наименования либо фамилии, имена, отчества (при наличии), идентификационные номера налогоплательщика (аналог идентификационного номера налогоплательщика в соответствии с законодательством соответствующего иностранного государства для иностранного лица) участников (членов) корпоративного юридического лица, владеющих более чем </w:t>
      </w:r>
      <w:r>
        <w:rPr>
          <w:rStyle w:val="CharStyle15"/>
          <w:lang w:val="en-US" w:eastAsia="en-US"/>
        </w:rPr>
        <w:t xml:space="preserve">25 </w:t>
      </w:r>
      <w:r>
        <w:rPr>
          <w:rStyle w:val="CharStyle15"/>
        </w:rPr>
        <w:t>процентами акций (долей, паев) корпоративного юридического лица, учредителей унитарного юридического лица.;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ф) выписка из Единого государственного реестра юридических лиц </w:t>
      </w:r>
      <w:r>
        <w:rPr>
          <w:rStyle w:val="CharStyle15"/>
          <w:lang w:val="en-US" w:eastAsia="en-US"/>
        </w:rPr>
        <w:t xml:space="preserve">– </w:t>
      </w:r>
      <w:r>
        <w:rPr>
          <w:rStyle w:val="CharStyle15"/>
        </w:rPr>
        <w:t>для юридического лица.</w:t>
      </w:r>
    </w:p>
    <w:p>
      <w:pPr>
        <w:pStyle w:val="Style14"/>
        <w:keepNext w:val="0"/>
        <w:keepLines w:val="0"/>
        <w:widowControl w:val="0"/>
        <w:shd w:val="clear" w:color="auto" w:fill="auto"/>
        <w:bidi w:val="0"/>
        <w:spacing w:before="0" w:after="0" w:line="293" w:lineRule="auto"/>
        <w:ind w:left="0" w:right="0" w:firstLine="720"/>
        <w:jc w:val="both"/>
        <w:rPr>
          <w:sz w:val="24"/>
          <w:szCs w:val="24"/>
        </w:rPr>
        <w:sectPr>
          <w:headerReference w:type="default" r:id="rId9"/>
          <w:footerReference w:type="default" r:id="rId10"/>
          <w:footnotePr>
            <w:pos w:val="pageBottom"/>
            <w:numFmt w:val="decimal"/>
            <w:numRestart w:val="continuous"/>
          </w:footnotePr>
          <w:pgSz w:w="11900" w:h="16840"/>
          <w:pgMar w:top="1666" w:right="546" w:bottom="778" w:left="1106" w:header="0" w:footer="350" w:gutter="0"/>
          <w:cols w:space="720"/>
          <w:noEndnote/>
          <w:rtlGutter w:val="0"/>
          <w:docGrid w:linePitch="360"/>
        </w:sectPr>
      </w:pPr>
      <w:r>
        <w:rPr>
          <w:rStyle w:val="CharStyle15"/>
        </w:rPr>
        <w:t xml:space="preserve">Исходя из пункта «д» Правил </w:t>
      </w:r>
      <w:r>
        <w:rPr>
          <w:rStyle w:val="CharStyle15"/>
          <w:lang w:val="en-US" w:eastAsia="en-US"/>
        </w:rPr>
        <w:t xml:space="preserve">№ 60 </w:t>
      </w:r>
      <w:r>
        <w:rPr>
          <w:rStyle w:val="CharStyle15"/>
        </w:rPr>
        <w:t xml:space="preserve">информация и документы, за исключением информации и документов, формируемых в соответствии с настоящими Правилами автоматически на основании сведений из государственных информационных систем, иных информационных систем и официальных сайтов федеральных органов власти, </w:t>
      </w:r>
      <w:r>
        <w:rPr>
          <w:rStyle w:val="CharStyle15"/>
          <w:sz w:val="24"/>
          <w:szCs w:val="24"/>
          <w:lang w:val="en-US" w:eastAsia="en-US"/>
        </w:rPr>
        <w:t>2025-3847</w:t>
      </w:r>
    </w:p>
    <w:p>
      <w:pPr>
        <w:pStyle w:val="Style14"/>
        <w:keepNext w:val="0"/>
        <w:keepLines w:val="0"/>
        <w:widowControl w:val="0"/>
        <w:shd w:val="clear" w:color="auto" w:fill="auto"/>
        <w:bidi w:val="0"/>
        <w:spacing w:before="0" w:after="0" w:line="240" w:lineRule="auto"/>
        <w:ind w:left="0" w:right="0" w:firstLine="0"/>
        <w:jc w:val="both"/>
      </w:pPr>
      <w:r>
        <w:rPr>
          <w:rStyle w:val="CharStyle15"/>
        </w:rPr>
        <w:t>уполномоченных на ведение государственных реестров, формируются уполномоченным лицом самостоятельно.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пункте </w:t>
      </w:r>
      <w:r>
        <w:rPr>
          <w:rStyle w:val="CharStyle15"/>
          <w:lang w:val="en-US" w:eastAsia="en-US"/>
        </w:rPr>
        <w:t xml:space="preserve">10 </w:t>
      </w:r>
      <w:r>
        <w:rPr>
          <w:rStyle w:val="CharStyle15"/>
        </w:rPr>
        <w:t xml:space="preserve">Правил </w:t>
      </w:r>
      <w:r>
        <w:rPr>
          <w:rStyle w:val="CharStyle15"/>
          <w:lang w:val="en-US" w:eastAsia="en-US"/>
        </w:rPr>
        <w:t xml:space="preserve">№ 60 </w:t>
      </w:r>
      <w:r>
        <w:rPr>
          <w:rStyle w:val="CharStyle15"/>
        </w:rPr>
        <w:t>установлено, что ответственность за неполноту, недостоверность, изменение информации и документов, формируемых для размещения в реестре участников, за несоответствие указанных информации и документов требованиям, установленным законодательством Российской Федерации, а также за действия, совершенные на основании указанных информации и документов, несет уполномоченное лицо.</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Частью </w:t>
      </w:r>
      <w:r>
        <w:rPr>
          <w:rStyle w:val="CharStyle15"/>
          <w:lang w:val="en-US" w:eastAsia="en-US"/>
        </w:rPr>
        <w:t xml:space="preserve">17 </w:t>
      </w:r>
      <w:r>
        <w:rPr>
          <w:rStyle w:val="CharStyle15"/>
        </w:rPr>
        <w:t xml:space="preserve">статьи </w:t>
      </w:r>
      <w:r>
        <w:rPr>
          <w:rStyle w:val="CharStyle15"/>
          <w:lang w:val="en-US" w:eastAsia="en-US"/>
        </w:rPr>
        <w:t xml:space="preserve">24.2 </w:t>
      </w:r>
      <w:r>
        <w:rPr>
          <w:rStyle w:val="CharStyle15"/>
        </w:rPr>
        <w:t>Закона о контрактной системе установлено, что ответственность за недостоверность информации и (или) документов, направленных оператору электронной площадки, оператору специализированной электронной площадки в соответствии с настоящей статьей, за несоответствие указанных информации и (или) документов требованиям, установленным законодательством Российской Федерации, за действия, совершенные на основании указанных информации и (или) документов, несет участник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подпунктом «а» пункта </w:t>
      </w:r>
      <w:r>
        <w:rPr>
          <w:rStyle w:val="CharStyle15"/>
          <w:lang w:val="en-US" w:eastAsia="en-US"/>
        </w:rPr>
        <w:t xml:space="preserve">1 </w:t>
      </w:r>
      <w:r>
        <w:rPr>
          <w:rStyle w:val="CharStyle15"/>
        </w:rPr>
        <w:t xml:space="preserve">части </w:t>
      </w:r>
      <w:r>
        <w:rPr>
          <w:rStyle w:val="CharStyle15"/>
          <w:lang w:val="en-US" w:eastAsia="en-US"/>
        </w:rPr>
        <w:t xml:space="preserve">11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10 </w:t>
      </w:r>
      <w:r>
        <w:rPr>
          <w:rStyle w:val="CharStyle15"/>
        </w:rPr>
        <w:t xml:space="preserve">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w:t>
      </w:r>
      <w:r>
        <w:rPr>
          <w:rStyle w:val="CharStyle15"/>
          <w:lang w:val="en-US" w:eastAsia="en-US"/>
        </w:rPr>
        <w:t xml:space="preserve">2 </w:t>
      </w:r>
      <w:r>
        <w:rPr>
          <w:rStyle w:val="CharStyle15"/>
        </w:rPr>
        <w:t xml:space="preserve">части </w:t>
      </w:r>
      <w:r>
        <w:rPr>
          <w:rStyle w:val="CharStyle15"/>
          <w:lang w:val="en-US" w:eastAsia="en-US"/>
        </w:rPr>
        <w:t xml:space="preserve">10 </w:t>
      </w:r>
      <w:r>
        <w:rPr>
          <w:rStyle w:val="CharStyle15"/>
        </w:rPr>
        <w:t>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Согласно пункту </w:t>
      </w:r>
      <w:r>
        <w:rPr>
          <w:rStyle w:val="CharStyle15"/>
          <w:lang w:val="en-US" w:eastAsia="en-US"/>
        </w:rPr>
        <w:t xml:space="preserve">2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 xml:space="preserve">Закона о контрактной системе при рассмотрении вторых частей заявок на участие в закупке соответствующая заявка подлежит отклонению в случае непредставления информации и документов, предусмотренных пунктами </w:t>
      </w:r>
      <w:r>
        <w:rPr>
          <w:rStyle w:val="CharStyle15"/>
          <w:lang w:val="en-US" w:eastAsia="en-US"/>
        </w:rPr>
        <w:t xml:space="preserve">2 </w:t>
      </w:r>
      <w:r>
        <w:rPr>
          <w:rStyle w:val="CharStyle15"/>
        </w:rPr>
        <w:t xml:space="preserve">и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подпункте «а» пункта </w:t>
      </w:r>
      <w:r>
        <w:rPr>
          <w:rStyle w:val="CharStyle15"/>
          <w:lang w:val="en-US" w:eastAsia="en-US"/>
        </w:rPr>
        <w:t xml:space="preserve">1 </w:t>
      </w:r>
      <w:r>
        <w:rPr>
          <w:rStyle w:val="CharStyle15"/>
        </w:rPr>
        <w:t xml:space="preserve">части </w:t>
      </w:r>
      <w:r>
        <w:rPr>
          <w:rStyle w:val="CharStyle15"/>
          <w:lang w:val="en-US" w:eastAsia="en-US"/>
        </w:rPr>
        <w:t xml:space="preserve">5 </w:t>
      </w:r>
      <w:r>
        <w:rPr>
          <w:rStyle w:val="CharStyle15"/>
        </w:rPr>
        <w:t xml:space="preserve">статьи </w:t>
      </w:r>
      <w:r>
        <w:rPr>
          <w:rStyle w:val="CharStyle15"/>
          <w:lang w:val="en-US" w:eastAsia="en-US"/>
        </w:rPr>
        <w:t xml:space="preserve">49 </w:t>
      </w:r>
      <w:r>
        <w:rPr>
          <w:rStyle w:val="CharStyle15"/>
        </w:rPr>
        <w:t xml:space="preserve">Закона о контрактной системе определено,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5"/>
          <w:lang w:val="en-US" w:eastAsia="en-US"/>
        </w:rPr>
        <w:t xml:space="preserve">4 </w:t>
      </w:r>
      <w:r>
        <w:rPr>
          <w:rStyle w:val="CharStyle15"/>
        </w:rPr>
        <w:t xml:space="preserve">части </w:t>
      </w:r>
      <w:r>
        <w:rPr>
          <w:rStyle w:val="CharStyle15"/>
          <w:lang w:val="en-US" w:eastAsia="en-US"/>
        </w:rPr>
        <w:t xml:space="preserve">4 </w:t>
      </w:r>
      <w:r>
        <w:rPr>
          <w:rStyle w:val="CharStyle15"/>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5"/>
          <w:lang w:val="en-US" w:eastAsia="en-US"/>
        </w:rPr>
        <w:t xml:space="preserve">1 - 8 </w:t>
      </w:r>
      <w:r>
        <w:rPr>
          <w:rStyle w:val="CharStyle15"/>
        </w:rPr>
        <w:t xml:space="preserve">части </w:t>
      </w:r>
      <w:r>
        <w:rPr>
          <w:rStyle w:val="CharStyle15"/>
          <w:lang w:val="en-US" w:eastAsia="en-US"/>
        </w:rPr>
        <w:t xml:space="preserve">12 </w:t>
      </w:r>
      <w:r>
        <w:rPr>
          <w:rStyle w:val="CharStyle15"/>
        </w:rPr>
        <w:t xml:space="preserve">статьи </w:t>
      </w:r>
      <w:r>
        <w:rPr>
          <w:rStyle w:val="CharStyle15"/>
          <w:lang w:val="en-US" w:eastAsia="en-US"/>
        </w:rPr>
        <w:t xml:space="preserve">48 </w:t>
      </w:r>
      <w:r>
        <w:rPr>
          <w:rStyle w:val="CharStyle15"/>
        </w:rPr>
        <w:t>настоящего Федерального закона.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Комиссией Амурского УФАС России установлено, что в составе заявки ООО «Евро Инвест» (идентификационный номер заявки </w:t>
      </w:r>
      <w:r>
        <w:rPr>
          <w:rStyle w:val="CharStyle15"/>
          <w:lang w:val="en-US" w:eastAsia="en-US"/>
        </w:rPr>
        <w:t xml:space="preserve">119480895) </w:t>
      </w:r>
      <w:r>
        <w:rPr>
          <w:rStyle w:val="CharStyle15"/>
        </w:rPr>
        <w:t xml:space="preserve">отсутствуют сведения, предусмотренные подпунктами «б», «в»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о контрактной системе, а именно: фамилия, имя, отчество (при наличии), идентификационный номер</w:t>
      </w:r>
    </w:p>
    <w:p>
      <w:pPr>
        <w:pStyle w:val="Style14"/>
        <w:keepNext w:val="0"/>
        <w:keepLines w:val="0"/>
        <w:widowControl w:val="0"/>
        <w:shd w:val="clear" w:color="auto" w:fill="auto"/>
        <w:bidi w:val="0"/>
        <w:spacing w:before="0" w:after="0" w:line="240" w:lineRule="auto"/>
        <w:ind w:left="0" w:right="0" w:firstLine="0"/>
        <w:jc w:val="both"/>
      </w:pPr>
      <w:r>
        <w:rPr>
          <w:rStyle w:val="CharStyle15"/>
        </w:rPr>
        <w:t>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а так же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конкурсная комиссия заказчика правомерно признала заявку ООО «Евро Инвест», несоответствующей требованиям извещения, поскольку участник закупки в составе заявки не предоставил сведения, предусмотренные подпунктами «б», «в»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Частью </w:t>
      </w:r>
      <w:r>
        <w:rPr>
          <w:rStyle w:val="CharStyle15"/>
          <w:lang w:val="en-US" w:eastAsia="en-US"/>
        </w:rPr>
        <w:t xml:space="preserve">2 </w:t>
      </w:r>
      <w:r>
        <w:rPr>
          <w:rStyle w:val="CharStyle15"/>
        </w:rPr>
        <w:t xml:space="preserve">статьи </w:t>
      </w:r>
      <w:r>
        <w:rPr>
          <w:rStyle w:val="CharStyle15"/>
          <w:lang w:val="en-US" w:eastAsia="en-US"/>
        </w:rPr>
        <w:t xml:space="preserve">31 </w:t>
      </w:r>
      <w:r>
        <w:rPr>
          <w:rStyle w:val="CharStyle15"/>
        </w:rPr>
        <w:t>Закона о контрактной системе определено, что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w:t>
      </w:r>
    </w:p>
    <w:p>
      <w:pPr>
        <w:pStyle w:val="Style14"/>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rStyle w:val="CharStyle15"/>
        </w:rPr>
        <w:t>финансовых ресурсов для исполнения контракта;</w:t>
      </w:r>
    </w:p>
    <w:p>
      <w:pPr>
        <w:pStyle w:val="Style14"/>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rStyle w:val="CharStyle15"/>
        </w:rPr>
        <w:t>на праве собственности или ином законном основании оборудования и других материальных ресурсов для исполнения контракта;</w:t>
      </w:r>
    </w:p>
    <w:p>
      <w:pPr>
        <w:pStyle w:val="Style14"/>
        <w:keepNext w:val="0"/>
        <w:keepLines w:val="0"/>
        <w:widowControl w:val="0"/>
        <w:numPr>
          <w:ilvl w:val="0"/>
          <w:numId w:val="3"/>
        </w:numPr>
        <w:shd w:val="clear" w:color="auto" w:fill="auto"/>
        <w:tabs>
          <w:tab w:pos="1076" w:val="left"/>
        </w:tabs>
        <w:bidi w:val="0"/>
        <w:spacing w:before="0" w:after="0" w:line="240" w:lineRule="auto"/>
        <w:ind w:left="0" w:right="0" w:firstLine="720"/>
        <w:jc w:val="both"/>
      </w:pPr>
      <w:r>
        <w:rPr>
          <w:rStyle w:val="CharStyle15"/>
        </w:rPr>
        <w:t>опыта работы, связанного с предметом контракта, и деловой репутации;</w:t>
      </w:r>
    </w:p>
    <w:p>
      <w:pPr>
        <w:pStyle w:val="Style14"/>
        <w:keepNext w:val="0"/>
        <w:keepLines w:val="0"/>
        <w:widowControl w:val="0"/>
        <w:numPr>
          <w:ilvl w:val="0"/>
          <w:numId w:val="3"/>
        </w:numPr>
        <w:shd w:val="clear" w:color="auto" w:fill="auto"/>
        <w:tabs>
          <w:tab w:pos="1062" w:val="left"/>
        </w:tabs>
        <w:bidi w:val="0"/>
        <w:spacing w:before="0" w:after="0" w:line="240" w:lineRule="auto"/>
        <w:ind w:left="0" w:right="0" w:firstLine="720"/>
        <w:jc w:val="both"/>
      </w:pPr>
      <w:r>
        <w:rPr>
          <w:rStyle w:val="CharStyle15"/>
        </w:rPr>
        <w:t>необходимого количества специалистов и иных работников определенного уровня квалификации для исполнения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2.1 </w:t>
      </w:r>
      <w:r>
        <w:rPr>
          <w:rStyle w:val="CharStyle15"/>
        </w:rPr>
        <w:t xml:space="preserve">статьи </w:t>
      </w:r>
      <w:r>
        <w:rPr>
          <w:rStyle w:val="CharStyle15"/>
          <w:lang w:val="en-US" w:eastAsia="en-US"/>
        </w:rPr>
        <w:t xml:space="preserve">31 </w:t>
      </w:r>
      <w:r>
        <w:rPr>
          <w:rStyle w:val="CharStyle15"/>
        </w:rPr>
        <w:t xml:space="preserve">Закона о контрактной системе если при применении конкурентных способов начальная (максимальная) цена контракта, сумма начальных (максимальных) цен контрактов (в случае проведения совместного конкурса или аукциона) составляет двадцать миллионов рублей и более, заказчик (за исключением случая осуществления закупок, в отношении участников которых Правительством Российской Федерации установлены дополнительные требования в соответствии с частью </w:t>
      </w:r>
      <w:r>
        <w:rPr>
          <w:rStyle w:val="CharStyle15"/>
          <w:lang w:val="en-US" w:eastAsia="en-US"/>
        </w:rPr>
        <w:t xml:space="preserve">2 </w:t>
      </w:r>
      <w:r>
        <w:rPr>
          <w:rStyle w:val="CharStyle15"/>
        </w:rPr>
        <w:t xml:space="preserve">настоящей статьи) устанавливает дополнительное требование об исполнении участником закупки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w:t>
      </w:r>
      <w:r>
        <w:rPr>
          <w:rStyle w:val="CharStyle15"/>
          <w:lang w:val="en-US" w:eastAsia="en-US"/>
        </w:rPr>
        <w:t xml:space="preserve">18 </w:t>
      </w:r>
      <w:r>
        <w:rPr>
          <w:rStyle w:val="CharStyle15"/>
        </w:rPr>
        <w:t xml:space="preserve">июля </w:t>
      </w:r>
      <w:r>
        <w:rPr>
          <w:rStyle w:val="CharStyle15"/>
          <w:lang w:val="en-US" w:eastAsia="en-US"/>
        </w:rPr>
        <w:t xml:space="preserve">2011 </w:t>
      </w:r>
      <w:r>
        <w:rPr>
          <w:rStyle w:val="CharStyle15"/>
        </w:rPr>
        <w:t xml:space="preserve">года </w:t>
      </w:r>
      <w:r>
        <w:rPr>
          <w:rStyle w:val="CharStyle15"/>
          <w:lang w:val="en-US" w:eastAsia="en-US"/>
        </w:rPr>
        <w:t xml:space="preserve">№ </w:t>
      </w:r>
      <w:r>
        <w:rPr>
          <w:rStyle w:val="CharStyle15"/>
        </w:rPr>
        <w:t>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w:t>
      </w:r>
    </w:p>
    <w:p>
      <w:pPr>
        <w:pStyle w:val="Style14"/>
        <w:keepNext w:val="0"/>
        <w:keepLines w:val="0"/>
        <w:widowControl w:val="0"/>
        <w:shd w:val="clear" w:color="auto" w:fill="auto"/>
        <w:bidi w:val="0"/>
        <w:spacing w:before="0" w:after="0" w:line="240" w:lineRule="auto"/>
        <w:ind w:left="0" w:right="0" w:firstLine="720"/>
        <w:jc w:val="both"/>
        <w:sectPr>
          <w:headerReference w:type="default" r:id="rId11"/>
          <w:footerReference w:type="default" r:id="rId12"/>
          <w:footnotePr>
            <w:pos w:val="pageBottom"/>
            <w:numFmt w:val="decimal"/>
            <w:numRestart w:val="continuous"/>
          </w:footnotePr>
          <w:pgSz w:w="11900" w:h="16840"/>
          <w:pgMar w:top="1662" w:right="542" w:bottom="1350" w:left="1105" w:header="0" w:footer="3" w:gutter="0"/>
          <w:cols w:space="720"/>
          <w:noEndnote/>
          <w:rtlGutter w:val="0"/>
          <w:docGrid w:linePitch="360"/>
        </w:sectPr>
      </w:pPr>
      <w:r>
        <w:rPr>
          <w:rStyle w:val="CharStyle15"/>
        </w:rPr>
        <w:t xml:space="preserve">В части </w:t>
      </w:r>
      <w:r>
        <w:rPr>
          <w:rStyle w:val="CharStyle15"/>
          <w:lang w:val="en-US" w:eastAsia="en-US"/>
        </w:rPr>
        <w:t xml:space="preserve">4 </w:t>
      </w:r>
      <w:r>
        <w:rPr>
          <w:rStyle w:val="CharStyle15"/>
        </w:rPr>
        <w:t xml:space="preserve">дополнительных требований к участникам закупки отдельных видов товаров, работ, услуг для обеспечения государственных и муниципальных нужд приложения к постановлению Правительства РФ от </w:t>
      </w:r>
      <w:r>
        <w:rPr>
          <w:rStyle w:val="CharStyle15"/>
          <w:lang w:val="en-US" w:eastAsia="en-US"/>
        </w:rPr>
        <w:t xml:space="preserve">29.12.2021 № 2571 </w:t>
      </w:r>
      <w:r>
        <w:rPr>
          <w:rStyle w:val="CharStyle15"/>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требованиям, и признании утратившими силу некоторых актов и отдельных положений актов Правительства Российской Федерации» (далее </w:t>
      </w:r>
      <w:r>
        <w:rPr>
          <w:rStyle w:val="CharStyle15"/>
          <w:lang w:val="en-US" w:eastAsia="en-US"/>
        </w:rPr>
        <w:t xml:space="preserve">– </w:t>
      </w:r>
      <w:r>
        <w:rPr>
          <w:rStyle w:val="CharStyle15"/>
        </w:rPr>
        <w:t xml:space="preserve">Постановление </w:t>
      </w:r>
      <w:r>
        <w:rPr>
          <w:rStyle w:val="CharStyle15"/>
          <w:lang w:val="en-US" w:eastAsia="en-US"/>
        </w:rPr>
        <w:t xml:space="preserve">№ 2571) </w:t>
      </w:r>
      <w:r>
        <w:rPr>
          <w:rStyle w:val="CharStyle15"/>
        </w:rPr>
        <w:t xml:space="preserve">установлено, что информацией и документами, подтверждающими соответствие участника закупки дополнительному требованию, установленному в соответствии с частью </w:t>
      </w:r>
      <w:r>
        <w:rPr>
          <w:rStyle w:val="CharStyle15"/>
          <w:lang w:val="en-US" w:eastAsia="en-US"/>
        </w:rPr>
        <w:t xml:space="preserve">2.1 </w:t>
      </w:r>
      <w:r>
        <w:rPr>
          <w:rStyle w:val="CharStyle15"/>
        </w:rPr>
        <w:t xml:space="preserve">статьи </w:t>
      </w:r>
      <w:r>
        <w:rPr>
          <w:rStyle w:val="CharStyle15"/>
          <w:lang w:val="en-US" w:eastAsia="en-US"/>
        </w:rPr>
        <w:t xml:space="preserve">31 </w:t>
      </w:r>
      <w:r>
        <w:rPr>
          <w:rStyle w:val="CharStyle15"/>
        </w:rPr>
        <w:t>Закона о контрактной системе, являются информация и документы, предусмотренные хотя бы одним из следующих подпунктов:</w:t>
      </w:r>
    </w:p>
    <w:p>
      <w:pPr>
        <w:pStyle w:val="Style14"/>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rStyle w:val="CharStyle15"/>
        </w:rPr>
        <w:t>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w:t>
      </w:r>
    </w:p>
    <w:p>
      <w:pPr>
        <w:pStyle w:val="Style14"/>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rStyle w:val="CharStyle15"/>
        </w:rPr>
        <w:t>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pPr>
        <w:pStyle w:val="Style14"/>
        <w:keepNext w:val="0"/>
        <w:keepLines w:val="0"/>
        <w:widowControl w:val="0"/>
        <w:numPr>
          <w:ilvl w:val="0"/>
          <w:numId w:val="5"/>
        </w:numPr>
        <w:shd w:val="clear" w:color="auto" w:fill="auto"/>
        <w:tabs>
          <w:tab w:pos="1062" w:val="left"/>
        </w:tabs>
        <w:bidi w:val="0"/>
        <w:spacing w:before="0" w:after="0" w:line="240" w:lineRule="auto"/>
        <w:ind w:left="0" w:right="0" w:firstLine="720"/>
        <w:jc w:val="both"/>
      </w:pPr>
      <w:r>
        <w:rPr>
          <w:rStyle w:val="CharStyle15"/>
        </w:rPr>
        <w:t>исполненный контракт, заключенный в соответствии с Законом о контрактной системе, или договор, заключенный в соответствии с Федеральным законом "О закупках товаров, работ, услуг отдельными видами юридических лиц",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Частью </w:t>
      </w:r>
      <w:r>
        <w:rPr>
          <w:rStyle w:val="CharStyle15"/>
          <w:lang w:val="en-US" w:eastAsia="en-US"/>
        </w:rPr>
        <w:t xml:space="preserve">4 </w:t>
      </w:r>
      <w:r>
        <w:rPr>
          <w:rStyle w:val="CharStyle15"/>
        </w:rPr>
        <w:t xml:space="preserve">статьи </w:t>
      </w:r>
      <w:r>
        <w:rPr>
          <w:rStyle w:val="CharStyle15"/>
          <w:lang w:val="en-US" w:eastAsia="en-US"/>
        </w:rPr>
        <w:t xml:space="preserve">31 </w:t>
      </w:r>
      <w:r>
        <w:rPr>
          <w:rStyle w:val="CharStyle15"/>
        </w:rPr>
        <w:t xml:space="preserve">Закона о контрактной системе установлено, что в случае установления Правительством Российской Федерации в соответствии с частью </w:t>
      </w:r>
      <w:r>
        <w:rPr>
          <w:rStyle w:val="CharStyle15"/>
          <w:lang w:val="en-US" w:eastAsia="en-US"/>
        </w:rPr>
        <w:t xml:space="preserve">2 </w:t>
      </w:r>
      <w:r>
        <w:rPr>
          <w:rStyle w:val="CharStyle15"/>
        </w:rPr>
        <w:t>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частью </w:t>
      </w:r>
      <w:r>
        <w:rPr>
          <w:rStyle w:val="CharStyle15"/>
          <w:lang w:val="en-US" w:eastAsia="en-US"/>
        </w:rPr>
        <w:t xml:space="preserve">5 </w:t>
      </w:r>
      <w:r>
        <w:rPr>
          <w:rStyle w:val="CharStyle15"/>
        </w:rPr>
        <w:t xml:space="preserve">статьи </w:t>
      </w:r>
      <w:r>
        <w:rPr>
          <w:rStyle w:val="CharStyle15"/>
          <w:lang w:val="en-US" w:eastAsia="en-US"/>
        </w:rPr>
        <w:t xml:space="preserve">31 </w:t>
      </w:r>
      <w:r>
        <w:rPr>
          <w:rStyle w:val="CharStyle15"/>
        </w:rPr>
        <w:t xml:space="preserve">Закона о контрактной системе информация об установленных требованиях в соответствии с частями </w:t>
      </w:r>
      <w:r>
        <w:rPr>
          <w:rStyle w:val="CharStyle15"/>
          <w:lang w:val="en-US" w:eastAsia="en-US"/>
        </w:rPr>
        <w:t xml:space="preserve">1, 1.1, 2 </w:t>
      </w:r>
      <w:r>
        <w:rPr>
          <w:rStyle w:val="CharStyle15"/>
        </w:rPr>
        <w:t xml:space="preserve">и </w:t>
      </w:r>
      <w:r>
        <w:rPr>
          <w:rStyle w:val="CharStyle15"/>
          <w:lang w:val="en-US" w:eastAsia="en-US"/>
        </w:rPr>
        <w:t xml:space="preserve">2.1 </w:t>
      </w:r>
      <w:r>
        <w:rPr>
          <w:rStyle w:val="CharStyle15"/>
        </w:rPr>
        <w:t>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силу пункта </w:t>
      </w:r>
      <w:r>
        <w:rPr>
          <w:rStyle w:val="CharStyle15"/>
          <w:lang w:val="en-US" w:eastAsia="en-US"/>
        </w:rPr>
        <w:t xml:space="preserve">12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требованиях, предъявляемые к участникам закупки в соответствии с частью </w:t>
      </w:r>
      <w:r>
        <w:rPr>
          <w:rStyle w:val="CharStyle15"/>
          <w:lang w:val="en-US" w:eastAsia="en-US"/>
        </w:rPr>
        <w:t xml:space="preserve">1 </w:t>
      </w:r>
      <w:r>
        <w:rPr>
          <w:rStyle w:val="CharStyle15"/>
        </w:rPr>
        <w:t xml:space="preserve">статьи </w:t>
      </w:r>
      <w:r>
        <w:rPr>
          <w:rStyle w:val="CharStyle15"/>
          <w:lang w:val="en-US" w:eastAsia="en-US"/>
        </w:rPr>
        <w:t xml:space="preserve">31 </w:t>
      </w:r>
      <w:r>
        <w:rPr>
          <w:rStyle w:val="CharStyle15"/>
        </w:rPr>
        <w:t xml:space="preserve">настоящего Федерального закона, требования, предъявляемые к участникам закупки в соответствии с частями </w:t>
      </w:r>
      <w:r>
        <w:rPr>
          <w:rStyle w:val="CharStyle15"/>
          <w:lang w:val="en-US" w:eastAsia="en-US"/>
        </w:rPr>
        <w:t xml:space="preserve">2 </w:t>
      </w:r>
      <w:r>
        <w:rPr>
          <w:rStyle w:val="CharStyle15"/>
        </w:rPr>
        <w:t xml:space="preserve">и </w:t>
      </w:r>
      <w:r>
        <w:rPr>
          <w:rStyle w:val="CharStyle15"/>
          <w:lang w:val="en-US" w:eastAsia="en-US"/>
        </w:rPr>
        <w:t xml:space="preserve">2.1 </w:t>
      </w:r>
      <w:r>
        <w:rPr>
          <w:rStyle w:val="CharStyle15"/>
        </w:rPr>
        <w:t xml:space="preserve">(при наличии таких требований) статьи </w:t>
      </w:r>
      <w:r>
        <w:rPr>
          <w:rStyle w:val="CharStyle15"/>
          <w:lang w:val="en-US" w:eastAsia="en-US"/>
        </w:rPr>
        <w:t xml:space="preserve">31 </w:t>
      </w:r>
      <w:r>
        <w:rPr>
          <w:rStyle w:val="CharStyle15"/>
        </w:rPr>
        <w:t xml:space="preserve">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w:t>
      </w:r>
      <w:r>
        <w:rPr>
          <w:rStyle w:val="CharStyle15"/>
          <w:lang w:val="en-US" w:eastAsia="en-US"/>
        </w:rPr>
        <w:t xml:space="preserve">1.1 </w:t>
      </w:r>
      <w:r>
        <w:rPr>
          <w:rStyle w:val="CharStyle15"/>
        </w:rPr>
        <w:t xml:space="preserve">статьи </w:t>
      </w:r>
      <w:r>
        <w:rPr>
          <w:rStyle w:val="CharStyle15"/>
          <w:lang w:val="en-US" w:eastAsia="en-US"/>
        </w:rPr>
        <w:t xml:space="preserve">31 </w:t>
      </w:r>
      <w:r>
        <w:rPr>
          <w:rStyle w:val="CharStyle15"/>
        </w:rPr>
        <w:t>настоящего Федерального закона (при наличии такого требования).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извещении установлены требования к участникам закупки согласно части </w:t>
      </w:r>
      <w:r>
        <w:rPr>
          <w:rStyle w:val="CharStyle15"/>
          <w:lang w:val="en-US" w:eastAsia="en-US"/>
        </w:rPr>
        <w:t xml:space="preserve">4 </w:t>
      </w:r>
      <w:r>
        <w:rPr>
          <w:rStyle w:val="CharStyle15"/>
        </w:rPr>
        <w:t xml:space="preserve">Постановления </w:t>
      </w:r>
      <w:r>
        <w:rPr>
          <w:rStyle w:val="CharStyle15"/>
          <w:lang w:val="en-US" w:eastAsia="en-US"/>
        </w:rPr>
        <w:t>№ 2571.</w:t>
      </w:r>
    </w:p>
    <w:p>
      <w:pPr>
        <w:pStyle w:val="Style14"/>
        <w:keepNext w:val="0"/>
        <w:keepLines w:val="0"/>
        <w:widowControl w:val="0"/>
        <w:shd w:val="clear" w:color="auto" w:fill="auto"/>
        <w:bidi w:val="0"/>
        <w:spacing w:before="0" w:after="0" w:line="310" w:lineRule="auto"/>
        <w:ind w:left="0" w:right="0" w:firstLine="720"/>
        <w:jc w:val="both"/>
        <w:rPr>
          <w:sz w:val="24"/>
          <w:szCs w:val="24"/>
        </w:rPr>
      </w:pPr>
      <w:r>
        <w:rPr>
          <w:rStyle w:val="CharStyle15"/>
        </w:rPr>
        <w:t xml:space="preserve">Подпунктом «н»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установлено, что предложение участника закупки в отношении объекта закупки должно содержать документы, подтверждающие соответствие участника закупки требованиям, </w:t>
      </w:r>
      <w:r>
        <w:rPr>
          <w:rStyle w:val="CharStyle15"/>
          <w:sz w:val="24"/>
          <w:szCs w:val="24"/>
          <w:lang w:val="en-US" w:eastAsia="en-US"/>
        </w:rPr>
        <w:t>2025-3847</w:t>
      </w:r>
    </w:p>
    <w:p>
      <w:pPr>
        <w:pStyle w:val="Style14"/>
        <w:keepNext w:val="0"/>
        <w:keepLines w:val="0"/>
        <w:widowControl w:val="0"/>
        <w:shd w:val="clear" w:color="auto" w:fill="auto"/>
        <w:bidi w:val="0"/>
        <w:spacing w:before="0" w:after="0" w:line="240" w:lineRule="auto"/>
        <w:ind w:left="0" w:right="0" w:firstLine="0"/>
        <w:jc w:val="both"/>
      </w:pPr>
      <w:r>
        <w:rPr>
          <w:rStyle w:val="CharStyle15"/>
        </w:rPr>
        <w:t xml:space="preserve">установленным пунктом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 xml:space="preserve">статьи </w:t>
      </w:r>
      <w:r>
        <w:rPr>
          <w:rStyle w:val="CharStyle15"/>
          <w:lang w:val="en-US" w:eastAsia="en-US"/>
        </w:rPr>
        <w:t xml:space="preserve">31 </w:t>
      </w:r>
      <w:r>
        <w:rPr>
          <w:rStyle w:val="CharStyle15"/>
        </w:rPr>
        <w:t xml:space="preserve">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w:t>
      </w:r>
      <w:r>
        <w:rPr>
          <w:rStyle w:val="CharStyle15"/>
          <w:lang w:val="en-US" w:eastAsia="en-US"/>
        </w:rPr>
        <w:t xml:space="preserve">2 </w:t>
      </w:r>
      <w:r>
        <w:rPr>
          <w:rStyle w:val="CharStyle15"/>
        </w:rPr>
        <w:t xml:space="preserve">и </w:t>
      </w:r>
      <w:r>
        <w:rPr>
          <w:rStyle w:val="CharStyle15"/>
          <w:lang w:val="en-US" w:eastAsia="en-US"/>
        </w:rPr>
        <w:t xml:space="preserve">2.1 </w:t>
      </w:r>
      <w:r>
        <w:rPr>
          <w:rStyle w:val="CharStyle15"/>
        </w:rPr>
        <w:t xml:space="preserve">(при наличии таких требований) статьи </w:t>
      </w:r>
      <w:r>
        <w:rPr>
          <w:rStyle w:val="CharStyle15"/>
          <w:lang w:val="en-US" w:eastAsia="en-US"/>
        </w:rPr>
        <w:t xml:space="preserve">31 </w:t>
      </w:r>
      <w:r>
        <w:rPr>
          <w:rStyle w:val="CharStyle15"/>
        </w:rPr>
        <w:t>настоящего Федерального закона, если иное не предусмотрено настоящим Федеральным законом.</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соответствии с пунктом </w:t>
      </w:r>
      <w:r>
        <w:rPr>
          <w:rStyle w:val="CharStyle15"/>
          <w:lang w:val="en-US" w:eastAsia="en-US"/>
        </w:rPr>
        <w:t xml:space="preserve">3 </w:t>
      </w:r>
      <w:r>
        <w:rPr>
          <w:rStyle w:val="CharStyle15"/>
        </w:rPr>
        <w:t xml:space="preserve">части </w:t>
      </w:r>
      <w:r>
        <w:rPr>
          <w:rStyle w:val="CharStyle15"/>
          <w:lang w:val="en-US" w:eastAsia="en-US"/>
        </w:rPr>
        <w:t xml:space="preserve">6 </w:t>
      </w:r>
      <w:r>
        <w:rPr>
          <w:rStyle w:val="CharStyle15"/>
        </w:rPr>
        <w:t xml:space="preserve">статьи </w:t>
      </w:r>
      <w:r>
        <w:rPr>
          <w:rStyle w:val="CharStyle15"/>
          <w:lang w:val="en-US" w:eastAsia="en-US"/>
        </w:rPr>
        <w:t xml:space="preserve">43 </w:t>
      </w:r>
      <w:r>
        <w:rPr>
          <w:rStyle w:val="CharStyle15"/>
        </w:rPr>
        <w:t xml:space="preserve">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при проведении электронных процедур документы, подтверждающие соответствие участника закупки дополнительным требованиям, установленным в соответствии с частью </w:t>
      </w:r>
      <w:r>
        <w:rPr>
          <w:rStyle w:val="CharStyle15"/>
          <w:lang w:val="en-US" w:eastAsia="en-US"/>
        </w:rPr>
        <w:t xml:space="preserve">2 </w:t>
      </w:r>
      <w:r>
        <w:rPr>
          <w:rStyle w:val="CharStyle15"/>
        </w:rPr>
        <w:t xml:space="preserve">или </w:t>
      </w:r>
      <w:r>
        <w:rPr>
          <w:rStyle w:val="CharStyle15"/>
          <w:lang w:val="en-US" w:eastAsia="en-US"/>
        </w:rPr>
        <w:t xml:space="preserve">2.1 </w:t>
      </w:r>
      <w:r>
        <w:rPr>
          <w:rStyle w:val="CharStyle15"/>
        </w:rPr>
        <w:t xml:space="preserve">(при наличии таких требований) статьи </w:t>
      </w:r>
      <w:r>
        <w:rPr>
          <w:rStyle w:val="CharStyle15"/>
          <w:lang w:val="en-US" w:eastAsia="en-US"/>
        </w:rPr>
        <w:t xml:space="preserve">31 </w:t>
      </w:r>
      <w:r>
        <w:rPr>
          <w:rStyle w:val="CharStyle15"/>
        </w:rPr>
        <w:t xml:space="preserve">настоящего Федерального закона, и предусмотренные подпунктом "н" пункта </w:t>
      </w:r>
      <w:r>
        <w:rPr>
          <w:rStyle w:val="CharStyle15"/>
          <w:lang w:val="en-US" w:eastAsia="en-US"/>
        </w:rPr>
        <w:t xml:space="preserve">1 </w:t>
      </w:r>
      <w:r>
        <w:rPr>
          <w:rStyle w:val="CharStyle15"/>
        </w:rPr>
        <w:t xml:space="preserve">части </w:t>
      </w:r>
      <w:r>
        <w:rPr>
          <w:rStyle w:val="CharStyle15"/>
          <w:lang w:val="en-US" w:eastAsia="en-US"/>
        </w:rPr>
        <w:t xml:space="preserve">1 </w:t>
      </w:r>
      <w:r>
        <w:rPr>
          <w:rStyle w:val="CharStyle15"/>
        </w:rPr>
        <w:t>настоящей статьи, не включаются участником закупки в заявку на участие в закупке. Такие документы в случаях, предусмотренных настоящим Федеральным законом, направляются (по состоянию на дату и время их направления) заказчику оператором электронной площадки из реестра участников закупок, аккредитованных на электронной площадке.</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ООО «Евро Инвест» (идентификационный номер заявки </w:t>
      </w:r>
      <w:r>
        <w:rPr>
          <w:rStyle w:val="CharStyle15"/>
          <w:lang w:val="en-US" w:eastAsia="en-US"/>
        </w:rPr>
        <w:t xml:space="preserve">119480895) </w:t>
      </w:r>
      <w:r>
        <w:rPr>
          <w:rStyle w:val="CharStyle15"/>
        </w:rPr>
        <w:t xml:space="preserve">в составе заявки предоставлен контракт с реестровым номером </w:t>
      </w:r>
      <w:r>
        <w:rPr>
          <w:rStyle w:val="CharStyle15"/>
          <w:lang w:val="en-US" w:eastAsia="en-US"/>
        </w:rPr>
        <w:t xml:space="preserve">2753605002021000020, </w:t>
      </w:r>
      <w:r>
        <w:rPr>
          <w:rStyle w:val="CharStyle15"/>
        </w:rPr>
        <w:t xml:space="preserve">по которому предъявлены требования об уплате неустоек (штрафов, пеней) </w:t>
      </w:r>
      <w:r>
        <w:rPr>
          <w:rStyle w:val="CharStyle15"/>
          <w:lang w:val="en-US" w:eastAsia="en-US"/>
        </w:rPr>
        <w:t xml:space="preserve">– </w:t>
      </w:r>
      <w:r>
        <w:rPr>
          <w:rStyle w:val="CharStyle15"/>
        </w:rPr>
        <w:t xml:space="preserve">согласно информации, размещенной в ЕИС имеется неоплаченная претензия </w:t>
      </w:r>
      <w:r>
        <w:rPr>
          <w:rStyle w:val="CharStyle15"/>
          <w:lang w:val="en-US" w:eastAsia="en-US"/>
        </w:rPr>
        <w:t xml:space="preserve">№ 09/2281-24 </w:t>
      </w:r>
      <w:r>
        <w:rPr>
          <w:rStyle w:val="CharStyle15"/>
        </w:rPr>
        <w:t xml:space="preserve">от </w:t>
      </w:r>
      <w:r>
        <w:rPr>
          <w:rStyle w:val="CharStyle15"/>
          <w:lang w:val="en-US" w:eastAsia="en-US"/>
        </w:rPr>
        <w:t xml:space="preserve">10.04.2024 </w:t>
      </w:r>
      <w:r>
        <w:rPr>
          <w:rStyle w:val="CharStyle15"/>
        </w:rPr>
        <w:t xml:space="preserve">на сумму </w:t>
      </w:r>
      <w:r>
        <w:rPr>
          <w:rStyle w:val="CharStyle15"/>
          <w:lang w:val="en-US" w:eastAsia="en-US"/>
        </w:rPr>
        <w:t xml:space="preserve">1 454 400,00 </w:t>
      </w:r>
      <w:r>
        <w:rPr>
          <w:rStyle w:val="CharStyle15"/>
        </w:rPr>
        <w:t>рублей.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аукционная комиссия заказчика правомерна признала заявку ООО «Евро Инвест», несоответствующей требованиям извещения, поскольку предоставленный участником закупки в составе заявки контракт, в подтверждение дополнительных требований Постановления </w:t>
      </w:r>
      <w:r>
        <w:rPr>
          <w:rStyle w:val="CharStyle15"/>
          <w:lang w:val="en-US" w:eastAsia="en-US"/>
        </w:rPr>
        <w:t xml:space="preserve">№ 2571, </w:t>
      </w:r>
      <w:r>
        <w:rPr>
          <w:rStyle w:val="CharStyle15"/>
        </w:rPr>
        <w:t xml:space="preserve">установленных документацией о закупке, не соответствует требованиям части </w:t>
      </w:r>
      <w:r>
        <w:rPr>
          <w:rStyle w:val="CharStyle15"/>
          <w:lang w:val="en-US" w:eastAsia="en-US"/>
        </w:rPr>
        <w:t xml:space="preserve">2.1 </w:t>
      </w:r>
      <w:r>
        <w:rPr>
          <w:rStyle w:val="CharStyle15"/>
        </w:rPr>
        <w:t xml:space="preserve">статьи </w:t>
      </w:r>
      <w:r>
        <w:rPr>
          <w:rStyle w:val="CharStyle15"/>
          <w:lang w:val="en-US" w:eastAsia="en-US"/>
        </w:rPr>
        <w:t xml:space="preserve">31 </w:t>
      </w:r>
      <w:r>
        <w:rPr>
          <w:rStyle w:val="CharStyle15"/>
        </w:rPr>
        <w:t>Закона о контрактной системе, так как имеет не исполненное требование об уплате неустоек (штрафов, пеней), предъявленных при исполнении такого контракта.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ООО «Городские технологии» (идентификационный номер заявки </w:t>
      </w:r>
      <w:r>
        <w:rPr>
          <w:rStyle w:val="CharStyle15"/>
          <w:lang w:val="en-US" w:eastAsia="en-US"/>
        </w:rPr>
        <w:t xml:space="preserve">119478344) </w:t>
      </w:r>
      <w:r>
        <w:rPr>
          <w:rStyle w:val="CharStyle15"/>
        </w:rPr>
        <w:t xml:space="preserve">в качестве опыта представлен контракт от </w:t>
      </w:r>
      <w:r>
        <w:rPr>
          <w:rStyle w:val="CharStyle15"/>
          <w:lang w:val="en-US" w:eastAsia="en-US"/>
        </w:rPr>
        <w:t xml:space="preserve">17.05.2024 № </w:t>
      </w:r>
      <w:r>
        <w:rPr>
          <w:rStyle w:val="CharStyle15"/>
        </w:rPr>
        <w:t xml:space="preserve">7/24-АГБО на поставку камер видеонаблюдения, а также документы приемки. Цена контракта составляет </w:t>
      </w:r>
      <w:r>
        <w:rPr>
          <w:rStyle w:val="CharStyle15"/>
          <w:lang w:val="en-US" w:eastAsia="en-US"/>
        </w:rPr>
        <w:t xml:space="preserve">248 352 600 </w:t>
      </w:r>
      <w:r>
        <w:rPr>
          <w:rStyle w:val="CharStyle15"/>
        </w:rPr>
        <w:t>рублей.</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В составе заявке ООО «Городские технологии» приложены </w:t>
      </w:r>
      <w:r>
        <w:rPr>
          <w:rStyle w:val="CharStyle15"/>
          <w:lang w:val="en-US" w:eastAsia="en-US"/>
        </w:rPr>
        <w:t xml:space="preserve">9 </w:t>
      </w:r>
      <w:r>
        <w:rPr>
          <w:rStyle w:val="CharStyle15"/>
        </w:rPr>
        <w:t xml:space="preserve">архивированных файлов в формате </w:t>
      </w:r>
      <w:r>
        <w:rPr>
          <w:rStyle w:val="CharStyle15"/>
          <w:lang w:val="en-US" w:eastAsia="en-US"/>
        </w:rPr>
        <w:t xml:space="preserve">zip </w:t>
      </w:r>
      <w:r>
        <w:rPr>
          <w:rStyle w:val="CharStyle15"/>
        </w:rPr>
        <w:t xml:space="preserve">(УПД _Белгород ИТС (поставка камер) </w:t>
      </w:r>
      <w:r>
        <w:rPr>
          <w:rStyle w:val="CharStyle15"/>
          <w:lang w:val="en-US" w:eastAsia="en-US"/>
        </w:rPr>
        <w:t xml:space="preserve">ДД24.zip – </w:t>
      </w:r>
      <w:r>
        <w:rPr>
          <w:rStyle w:val="CharStyle15"/>
        </w:rPr>
        <w:t xml:space="preserve">по семи этапам). Данные файлы содержат счета-фактуры, титулы поставщика, которые подписаны ЭЦП только со стороны поставщика, титулы заказчика, подписанные только заказчиком по всем </w:t>
      </w:r>
      <w:r>
        <w:rPr>
          <w:rStyle w:val="CharStyle15"/>
          <w:lang w:val="en-US" w:eastAsia="en-US"/>
        </w:rPr>
        <w:t xml:space="preserve">7 </w:t>
      </w:r>
      <w:r>
        <w:rPr>
          <w:rStyle w:val="CharStyle15"/>
        </w:rPr>
        <w:t>этапам. То есть отсутствуют документы о приемке, содержащие ЭЦП обеих сторон.</w:t>
      </w:r>
    </w:p>
    <w:p>
      <w:pPr>
        <w:pStyle w:val="Style14"/>
        <w:keepNext w:val="0"/>
        <w:keepLines w:val="0"/>
        <w:widowControl w:val="0"/>
        <w:shd w:val="clear" w:color="auto" w:fill="auto"/>
        <w:bidi w:val="0"/>
        <w:spacing w:before="0" w:after="0" w:line="264" w:lineRule="auto"/>
        <w:ind w:left="0" w:right="0" w:firstLine="720"/>
        <w:jc w:val="both"/>
        <w:rPr>
          <w:sz w:val="24"/>
          <w:szCs w:val="24"/>
        </w:rPr>
        <w:sectPr>
          <w:headerReference w:type="default" r:id="rId13"/>
          <w:footerReference w:type="default" r:id="rId14"/>
          <w:footnotePr>
            <w:pos w:val="pageBottom"/>
            <w:numFmt w:val="decimal"/>
            <w:numRestart w:val="continuous"/>
          </w:footnotePr>
          <w:pgSz w:w="11900" w:h="16840"/>
          <w:pgMar w:top="1662" w:right="545" w:bottom="760" w:left="1101" w:header="0" w:footer="332" w:gutter="0"/>
          <w:cols w:space="720"/>
          <w:noEndnote/>
          <w:rtlGutter w:val="0"/>
          <w:docGrid w:linePitch="360"/>
        </w:sectPr>
      </w:pPr>
      <w:r>
        <w:rPr>
          <w:rStyle w:val="CharStyle15"/>
        </w:rPr>
        <w:t xml:space="preserve">Частью </w:t>
      </w:r>
      <w:r>
        <w:rPr>
          <w:rStyle w:val="CharStyle15"/>
          <w:lang w:val="en-US" w:eastAsia="en-US"/>
        </w:rPr>
        <w:t xml:space="preserve">7 </w:t>
      </w:r>
      <w:r>
        <w:rPr>
          <w:rStyle w:val="CharStyle15"/>
        </w:rPr>
        <w:t xml:space="preserve">статьи </w:t>
      </w:r>
      <w:r>
        <w:rPr>
          <w:rStyle w:val="CharStyle15"/>
          <w:lang w:val="en-US" w:eastAsia="en-US"/>
        </w:rPr>
        <w:t xml:space="preserve">94 </w:t>
      </w:r>
      <w:r>
        <w:rPr>
          <w:rStyle w:val="CharStyle15"/>
        </w:rPr>
        <w:t xml:space="preserve">Закона о контрактной системе установлено, что 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w:t>
      </w:r>
      <w:r>
        <w:rPr>
          <w:rStyle w:val="CharStyle15"/>
          <w:sz w:val="24"/>
          <w:szCs w:val="24"/>
          <w:lang w:val="en-US" w:eastAsia="en-US"/>
        </w:rPr>
        <w:t>2025-3847</w:t>
      </w:r>
    </w:p>
    <w:p>
      <w:pPr>
        <w:pStyle w:val="Style14"/>
        <w:keepNext w:val="0"/>
        <w:keepLines w:val="0"/>
        <w:widowControl w:val="0"/>
        <w:shd w:val="clear" w:color="auto" w:fill="auto"/>
        <w:bidi w:val="0"/>
        <w:spacing w:before="0" w:after="0" w:line="240" w:lineRule="auto"/>
        <w:ind w:left="0" w:right="0" w:firstLine="0"/>
        <w:jc w:val="both"/>
      </w:pPr>
      <w:r>
        <w:rPr>
          <w:rStyle w:val="CharStyle15"/>
        </w:rPr>
        <w:t>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Таким образом, аукционная комиссия заказчика правомерно признала заявку ООО «Городские технологии», несоответствующей требованиям извещения, поскольку предоставленный участником закупки в составе заявки контракт, в подтверждение дополнительных требований Постановления </w:t>
      </w:r>
      <w:r>
        <w:rPr>
          <w:rStyle w:val="CharStyle15"/>
          <w:lang w:val="en-US" w:eastAsia="en-US"/>
        </w:rPr>
        <w:t xml:space="preserve">№ 2571, </w:t>
      </w:r>
      <w:r>
        <w:rPr>
          <w:rStyle w:val="CharStyle15"/>
        </w:rPr>
        <w:t xml:space="preserve">установленных документацией о закупке, не соответствует требованиям части </w:t>
      </w:r>
      <w:r>
        <w:rPr>
          <w:rStyle w:val="CharStyle15"/>
          <w:lang w:val="en-US" w:eastAsia="en-US"/>
        </w:rPr>
        <w:t xml:space="preserve">2.1 </w:t>
      </w:r>
      <w:r>
        <w:rPr>
          <w:rStyle w:val="CharStyle15"/>
        </w:rPr>
        <w:t xml:space="preserve">статьи </w:t>
      </w:r>
      <w:r>
        <w:rPr>
          <w:rStyle w:val="CharStyle15"/>
          <w:lang w:val="en-US" w:eastAsia="en-US"/>
        </w:rPr>
        <w:t xml:space="preserve">31 </w:t>
      </w:r>
      <w:r>
        <w:rPr>
          <w:rStyle w:val="CharStyle15"/>
        </w:rPr>
        <w:t>Закона о контрактной системе, так как на документах приемки, подтверждающих исполнение контракта, отсутствуют подписи со стороны заказчика.</w:t>
      </w:r>
    </w:p>
    <w:p>
      <w:pPr>
        <w:pStyle w:val="Style14"/>
        <w:keepNext w:val="0"/>
        <w:keepLines w:val="0"/>
        <w:widowControl w:val="0"/>
        <w:shd w:val="clear" w:color="auto" w:fill="auto"/>
        <w:bidi w:val="0"/>
        <w:spacing w:before="0" w:after="0" w:line="240" w:lineRule="auto"/>
        <w:ind w:left="0" w:right="0" w:firstLine="720"/>
        <w:jc w:val="both"/>
      </w:pPr>
      <w:r>
        <w:rPr>
          <w:rStyle w:val="CharStyle15"/>
        </w:rPr>
        <w:t xml:space="preserve">Представитель ООО «Городские технологии» на заседании Комиссии Амурского УФАС России предоставил в материалы дела документы приемки к контракту от </w:t>
      </w:r>
      <w:r>
        <w:rPr>
          <w:rStyle w:val="CharStyle15"/>
          <w:lang w:val="en-US" w:eastAsia="en-US"/>
        </w:rPr>
        <w:t xml:space="preserve">17.05.2024 № </w:t>
      </w:r>
      <w:r>
        <w:rPr>
          <w:rStyle w:val="CharStyle15"/>
        </w:rPr>
        <w:t>7/24-АГБО с подписями заказчика отличные от имеющихся в состав заявки и не подтверждающие надлежащее исполнение контракта.</w:t>
      </w:r>
    </w:p>
    <w:p>
      <w:pPr>
        <w:pStyle w:val="Style14"/>
        <w:keepNext w:val="0"/>
        <w:keepLines w:val="0"/>
        <w:widowControl w:val="0"/>
        <w:shd w:val="clear" w:color="auto" w:fill="auto"/>
        <w:bidi w:val="0"/>
        <w:spacing w:before="0" w:after="100" w:line="240" w:lineRule="auto"/>
        <w:ind w:left="0" w:right="0" w:firstLine="720"/>
        <w:jc w:val="both"/>
      </w:pPr>
      <w:r>
        <w:rPr>
          <w:rStyle w:val="CharStyle15"/>
        </w:rPr>
        <w:t xml:space="preserve">Рассмотрев жалобы ООО «Евро Инвест» и ООО «Городские технологии», руководствуясь пунктом </w:t>
      </w:r>
      <w:r>
        <w:rPr>
          <w:rStyle w:val="CharStyle15"/>
          <w:lang w:val="en-US" w:eastAsia="en-US"/>
        </w:rPr>
        <w:t xml:space="preserve">1 </w:t>
      </w:r>
      <w:r>
        <w:rPr>
          <w:rStyle w:val="CharStyle15"/>
        </w:rPr>
        <w:t xml:space="preserve">части </w:t>
      </w:r>
      <w:r>
        <w:rPr>
          <w:rStyle w:val="CharStyle15"/>
          <w:lang w:val="en-US" w:eastAsia="en-US"/>
        </w:rPr>
        <w:t xml:space="preserve">3, </w:t>
      </w:r>
      <w:r>
        <w:rPr>
          <w:rStyle w:val="CharStyle15"/>
        </w:rPr>
        <w:t xml:space="preserve">части </w:t>
      </w:r>
      <w:r>
        <w:rPr>
          <w:rStyle w:val="CharStyle15"/>
          <w:lang w:val="en-US" w:eastAsia="en-US"/>
        </w:rPr>
        <w:t xml:space="preserve">15 </w:t>
      </w:r>
      <w:r>
        <w:rPr>
          <w:rStyle w:val="CharStyle15"/>
        </w:rPr>
        <w:t xml:space="preserve">статьи </w:t>
      </w:r>
      <w:r>
        <w:rPr>
          <w:rStyle w:val="CharStyle15"/>
          <w:lang w:val="en-US" w:eastAsia="en-US"/>
        </w:rPr>
        <w:t xml:space="preserve">99, </w:t>
      </w:r>
      <w:r>
        <w:rPr>
          <w:rStyle w:val="CharStyle15"/>
        </w:rPr>
        <w:t xml:space="preserve">части </w:t>
      </w:r>
      <w:r>
        <w:rPr>
          <w:rStyle w:val="CharStyle15"/>
          <w:lang w:val="en-US" w:eastAsia="en-US"/>
        </w:rPr>
        <w:t xml:space="preserve">8 </w:t>
      </w:r>
      <w:r>
        <w:rPr>
          <w:rStyle w:val="CharStyle15"/>
        </w:rPr>
        <w:t xml:space="preserve">статьи </w:t>
      </w:r>
      <w:r>
        <w:rPr>
          <w:rStyle w:val="CharStyle15"/>
          <w:lang w:val="en-US" w:eastAsia="en-US"/>
        </w:rPr>
        <w:t xml:space="preserve">106 </w:t>
      </w:r>
      <w:r>
        <w:rPr>
          <w:rStyle w:val="CharStyle15"/>
        </w:rPr>
        <w:t>Закона о контрактной системе, Комиссия Амурского УФАС России приняла</w:t>
      </w:r>
    </w:p>
    <w:p>
      <w:pPr>
        <w:pStyle w:val="Style14"/>
        <w:keepNext w:val="0"/>
        <w:keepLines w:val="0"/>
        <w:widowControl w:val="0"/>
        <w:shd w:val="clear" w:color="auto" w:fill="auto"/>
        <w:bidi w:val="0"/>
        <w:spacing w:before="0" w:after="100" w:line="240" w:lineRule="auto"/>
        <w:ind w:left="0" w:right="0" w:firstLine="0"/>
        <w:jc w:val="center"/>
      </w:pPr>
      <w:r>
        <w:rPr>
          <w:rStyle w:val="CharStyle15"/>
        </w:rPr>
        <w:t>Р Е Ш Е Н И Е:</w:t>
      </w:r>
    </w:p>
    <w:p>
      <w:pPr>
        <w:pStyle w:val="Style14"/>
        <w:keepNext w:val="0"/>
        <w:keepLines w:val="0"/>
        <w:widowControl w:val="0"/>
        <w:numPr>
          <w:ilvl w:val="0"/>
          <w:numId w:val="7"/>
        </w:numPr>
        <w:shd w:val="clear" w:color="auto" w:fill="auto"/>
        <w:tabs>
          <w:tab w:pos="1069" w:val="left"/>
        </w:tabs>
        <w:bidi w:val="0"/>
        <w:spacing w:before="0" w:after="0" w:line="240" w:lineRule="auto"/>
        <w:ind w:left="0" w:right="0" w:firstLine="720"/>
        <w:jc w:val="both"/>
      </w:pPr>
      <w:r>
        <w:rPr>
          <w:rStyle w:val="CharStyle15"/>
        </w:rPr>
        <w:t>Признать жалобу общества с ограниченной ответственностью «Евро Инвест» необоснованной.</w:t>
      </w:r>
    </w:p>
    <w:p>
      <w:pPr>
        <w:pStyle w:val="Style14"/>
        <w:keepNext w:val="0"/>
        <w:keepLines w:val="0"/>
        <w:widowControl w:val="0"/>
        <w:numPr>
          <w:ilvl w:val="0"/>
          <w:numId w:val="7"/>
        </w:numPr>
        <w:shd w:val="clear" w:color="auto" w:fill="auto"/>
        <w:tabs>
          <w:tab w:pos="1074" w:val="left"/>
        </w:tabs>
        <w:bidi w:val="0"/>
        <w:spacing w:before="0" w:after="260" w:line="240" w:lineRule="auto"/>
        <w:ind w:left="0" w:right="0" w:firstLine="720"/>
        <w:jc w:val="both"/>
      </w:pPr>
      <w:r>
        <w:rPr>
          <w:rStyle w:val="CharStyle15"/>
        </w:rPr>
        <w:t>Признать жалобу общества с ограниченной ответственностью «Фирма «Городские технологии» необоснованной.</w:t>
      </w:r>
    </w:p>
    <w:p>
      <w:pPr>
        <w:pStyle w:val="Style14"/>
        <w:keepNext w:val="0"/>
        <w:keepLines w:val="0"/>
        <w:widowControl w:val="0"/>
        <w:shd w:val="clear" w:color="auto" w:fill="auto"/>
        <w:bidi w:val="0"/>
        <w:spacing w:before="0" w:after="0" w:line="240" w:lineRule="auto"/>
        <w:ind w:left="0" w:right="0" w:firstLine="720"/>
        <w:jc w:val="both"/>
        <w:sectPr>
          <w:headerReference w:type="default" r:id="rId15"/>
          <w:footerReference w:type="default" r:id="rId16"/>
          <w:footnotePr>
            <w:pos w:val="pageBottom"/>
            <w:numFmt w:val="decimal"/>
            <w:numRestart w:val="continuous"/>
          </w:footnotePr>
          <w:pgSz w:w="11900" w:h="16840"/>
          <w:pgMar w:top="1666" w:right="545" w:bottom="1325" w:left="1101" w:header="0" w:footer="3" w:gutter="0"/>
          <w:cols w:space="720"/>
          <w:noEndnote/>
          <w:rtlGutter w:val="0"/>
          <w:docGrid w:linePitch="360"/>
        </w:sectPr>
      </w:pPr>
      <w:r>
        <w:rPr>
          <w:rStyle w:val="CharStyle15"/>
        </w:rPr>
        <w:t>Решение может быть обжаловано в Арбитражный суд Амурской области в течение трех месяцев со дня его принятия.</w:t>
      </w:r>
    </w:p>
    <w:p>
      <w:pPr>
        <w:widowControl w:val="0"/>
        <w:spacing w:before="56" w:after="5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666" w:right="0" w:bottom="1325"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p>
      <w:pPr>
        <w:spacing w:lineRule="exact" w:line="1"/>
        <w:rPr>
          <w:sz w:val="2"/>
          <w:szCs w:val="2"/>
        </w:rPr>
      </w:pPr>
      <w:r>
        <w:br w:type="column"/>
      </w:r>
    </w:p>
    <w:p>
      <w:pPr>
        <w:pStyle w:val="Style20"/>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666" w:right="4348" w:bottom="1325" w:left="1164" w:header="0" w:footer="3" w:gutter="0"/>
          <w:cols w:num="2" w:space="965"/>
          <w:noEndnote/>
          <w:rtlGutter w:val="0"/>
          <w:docGrid w:linePitch="360"/>
        </w:sectPr>
      </w:pPr>
      <w:r>
        <w:rPr>
          <w:rStyle w:val="CharStyle21"/>
        </w:rPr>
        <w:t>Подлинник электронного документа, подписанного ЭП, хранится в системе электронного документооборота ФАС России</w:t>
      </w:r>
    </w:p>
    <w:p>
      <w:pPr>
        <w:pStyle w:val="Style20"/>
        <w:keepNext w:val="0"/>
        <w:keepLines w:val="0"/>
        <w:framePr w:w="2021" w:h="158" w:wrap="none" w:vAnchor="text" w:hAnchor="page" w:x="4904" w:y="2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center"/>
        <w:rPr>
          <w:sz w:val="12"/>
          <w:szCs w:val="12"/>
        </w:rPr>
      </w:pPr>
      <w:r>
        <w:rPr>
          <w:rStyle w:val="CharStyle21"/>
          <w:color w:val="FFFFFF"/>
          <w:sz w:val="12"/>
          <w:szCs w:val="12"/>
        </w:rPr>
        <w:t>СВЕДЕНИЯ О СЕРТИФИКАТЕ ЭП</w:t>
      </w:r>
    </w:p>
    <w:p>
      <w:pPr>
        <w:pStyle w:val="Style23"/>
        <w:keepNext w:val="0"/>
        <w:keepLines w:val="0"/>
        <w:framePr w:w="3365" w:h="470" w:wrap="none" w:vAnchor="text" w:hAnchor="page" w:x="4198" w:y="270"/>
        <w:widowControl w:val="0"/>
        <w:shd w:val="clear" w:color="auto" w:fill="auto"/>
        <w:bidi w:val="0"/>
        <w:spacing w:before="0" w:after="0" w:line="240" w:lineRule="auto"/>
        <w:ind w:left="0" w:right="0" w:firstLine="0"/>
        <w:jc w:val="left"/>
      </w:pPr>
      <w:r>
        <w:rPr>
          <w:rStyle w:val="CharStyle24"/>
        </w:rPr>
        <w:t xml:space="preserve">Кому выдан: </w:t>
      </w:r>
      <w:r>
        <w:rPr>
          <w:rStyle w:val="CharStyle24"/>
          <w:color w:val="000000"/>
        </w:rPr>
        <w:t>Парнищева Марина Михайловна</w:t>
      </w:r>
    </w:p>
    <w:p>
      <w:pPr>
        <w:pStyle w:val="Style23"/>
        <w:keepNext w:val="0"/>
        <w:keepLines w:val="0"/>
        <w:framePr w:w="3365" w:h="470" w:wrap="none" w:vAnchor="text" w:hAnchor="page" w:x="4198" w:y="270"/>
        <w:widowControl w:val="0"/>
        <w:shd w:val="clear" w:color="auto" w:fill="auto"/>
        <w:bidi w:val="0"/>
        <w:spacing w:before="0" w:after="0" w:line="240" w:lineRule="auto"/>
        <w:ind w:left="0" w:right="0" w:firstLine="0"/>
        <w:jc w:val="left"/>
      </w:pPr>
      <w:r>
        <w:rPr>
          <w:rStyle w:val="CharStyle24"/>
        </w:rPr>
        <w:t xml:space="preserve">Сертификат </w:t>
      </w:r>
      <w:r>
        <w:rPr>
          <w:rStyle w:val="CharStyle24"/>
          <w:color w:val="292929"/>
        </w:rPr>
        <w:t xml:space="preserve">№ </w:t>
      </w:r>
      <w:r>
        <w:rPr>
          <w:rStyle w:val="CharStyle24"/>
          <w:lang w:val="en-US" w:eastAsia="en-US"/>
        </w:rPr>
        <w:t>78C8CEA2BE2658A4665639DEA268DB2C</w:t>
      </w:r>
    </w:p>
    <w:p>
      <w:pPr>
        <w:pStyle w:val="Style23"/>
        <w:keepNext w:val="0"/>
        <w:keepLines w:val="0"/>
        <w:framePr w:w="3365" w:h="470" w:wrap="none" w:vAnchor="text" w:hAnchor="page" w:x="4198" w:y="270"/>
        <w:widowControl w:val="0"/>
        <w:shd w:val="clear" w:color="auto" w:fill="auto"/>
        <w:bidi w:val="0"/>
        <w:spacing w:before="0" w:after="0" w:line="240" w:lineRule="auto"/>
        <w:ind w:left="0" w:right="0" w:firstLine="0"/>
        <w:jc w:val="left"/>
      </w:pPr>
      <w:r>
        <w:rPr>
          <w:rStyle w:val="CharStyle24"/>
        </w:rPr>
        <w:t xml:space="preserve">Действителен с 12.08.2024 </w:t>
      </w:r>
      <w:r>
        <w:rPr>
          <w:rStyle w:val="CharStyle24"/>
          <w:color w:val="5C5C5C"/>
        </w:rPr>
        <w:t xml:space="preserve">по </w:t>
      </w:r>
      <w:r>
        <w:rPr>
          <w:rStyle w:val="CharStyle24"/>
        </w:rPr>
        <w:t>05.11.2025</w:t>
      </w:r>
    </w:p>
    <w:p>
      <w:pPr>
        <w:pStyle w:val="Style14"/>
        <w:keepNext w:val="0"/>
        <w:keepLines w:val="0"/>
        <w:framePr w:w="1968" w:h="370" w:wrap="none" w:vAnchor="text" w:hAnchor="page" w:x="9354" w:y="21"/>
        <w:widowControl w:val="0"/>
        <w:shd w:val="clear" w:color="auto" w:fill="auto"/>
        <w:bidi w:val="0"/>
        <w:spacing w:before="0" w:after="0" w:line="240" w:lineRule="auto"/>
        <w:ind w:left="0" w:right="0" w:firstLine="0"/>
        <w:jc w:val="right"/>
      </w:pPr>
      <w:r>
        <w:rPr>
          <w:rStyle w:val="CharStyle15"/>
        </w:rPr>
        <w:t>М.М. Парнищева</w:t>
      </w:r>
    </w:p>
    <w:p>
      <w:pPr>
        <w:pStyle w:val="Style14"/>
        <w:keepNext w:val="0"/>
        <w:keepLines w:val="0"/>
        <w:framePr w:w="1949" w:h="365" w:wrap="none" w:vAnchor="text" w:hAnchor="page" w:x="1160" w:y="942"/>
        <w:widowControl w:val="0"/>
        <w:shd w:val="clear" w:color="auto" w:fill="auto"/>
        <w:bidi w:val="0"/>
        <w:spacing w:before="0" w:after="0" w:line="240" w:lineRule="auto"/>
        <w:ind w:left="0" w:right="0" w:firstLine="0"/>
        <w:jc w:val="left"/>
      </w:pPr>
      <w:r>
        <w:rPr>
          <w:rStyle w:val="CharStyle15"/>
        </w:rPr>
        <w:t>Члены комиссии</w:t>
      </w:r>
    </w:p>
    <w:p>
      <w:pPr>
        <w:pStyle w:val="Style28"/>
        <w:keepNext w:val="0"/>
        <w:keepLines w:val="0"/>
        <w:framePr w:w="2021" w:h="158" w:wrap="none" w:vAnchor="text" w:hAnchor="page" w:x="4904" w:y="158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p>
      <w:pPr>
        <w:pStyle w:val="Style28"/>
        <w:keepNext w:val="0"/>
        <w:keepLines w:val="0"/>
        <w:framePr w:w="2712" w:h="408" w:wrap="none" w:vAnchor="text" w:hAnchor="page" w:x="4841" w:y="1086"/>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p>
      <w:pPr>
        <w:pStyle w:val="Style14"/>
        <w:keepNext w:val="0"/>
        <w:keepLines w:val="0"/>
        <w:framePr w:w="1646" w:h="365" w:wrap="none" w:vAnchor="text" w:hAnchor="page" w:x="9670" w:y="942"/>
        <w:widowControl w:val="0"/>
        <w:shd w:val="clear" w:color="auto" w:fill="auto"/>
        <w:bidi w:val="0"/>
        <w:spacing w:before="0" w:after="0" w:line="240" w:lineRule="auto"/>
        <w:ind w:left="0" w:right="0" w:firstLine="0"/>
        <w:jc w:val="right"/>
      </w:pPr>
      <w:r>
        <w:rPr>
          <w:rStyle w:val="CharStyle15"/>
        </w:rPr>
        <w:t>И.И. Левченко</w:t>
      </w:r>
    </w:p>
    <w:p>
      <w:pPr>
        <w:widowControl w:val="0"/>
        <w:spacing w:line="360" w:lineRule="exact"/>
      </w:pPr>
      <w:r>
        <w:drawing>
          <wp:anchor distT="0" distB="0" distL="0" distR="1786255" simplePos="0" relativeHeight="62914708" behindDoc="1" locked="0" layoutInCell="1" allowOverlap="1">
            <wp:simplePos x="0" y="0"/>
            <wp:positionH relativeFrom="page">
              <wp:posOffset>2653030</wp:posOffset>
            </wp:positionH>
            <wp:positionV relativeFrom="paragraph">
              <wp:posOffset>600710</wp:posOffset>
            </wp:positionV>
            <wp:extent cx="359410" cy="524510"/>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7"/>
                    <a:stretch/>
                  </pic:blipFill>
                  <pic:spPr>
                    <a:xfrm>
                      <a:ext cx="359410" cy="524510"/>
                    </a:xfrm>
                    <a:prstGeom prst="rect"/>
                  </pic:spPr>
                </pic:pic>
              </a:graphicData>
            </a:graphic>
          </wp:anchor>
        </w:drawing>
      </w:r>
    </w:p>
    <w:p>
      <w:pPr>
        <w:widowControl w:val="0"/>
        <w:spacing w:line="360" w:lineRule="exact"/>
      </w:pPr>
    </w:p>
    <w:p>
      <w:pPr>
        <w:widowControl w:val="0"/>
        <w:spacing w:line="360" w:lineRule="exact"/>
      </w:pPr>
    </w:p>
    <w:p>
      <w:pPr>
        <w:widowControl w:val="0"/>
        <w:spacing w:after="685" w:line="1" w:lineRule="exact"/>
      </w:pPr>
    </w:p>
    <w:p>
      <w:pPr>
        <w:widowControl w:val="0"/>
        <w:spacing w:line="1" w:lineRule="exact"/>
        <w:sectPr>
          <w:footnotePr>
            <w:pos w:val="pageBottom"/>
            <w:numFmt w:val="decimal"/>
            <w:numRestart w:val="continuous"/>
          </w:footnotePr>
          <w:type w:val="continuous"/>
          <w:pgSz w:w="11900" w:h="16840"/>
          <w:pgMar w:top="1459" w:right="545" w:bottom="1176" w:left="1101" w:header="0" w:footer="3" w:gutter="0"/>
          <w:cols w:space="720"/>
          <w:noEndnote/>
          <w:rtlGutter w:val="0"/>
          <w:docGrid w:linePitch="360"/>
        </w:sectPr>
      </w:pP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Левченко Иван Игоревич</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rPr>
        <w:t>1829С8В58С4СС6С13213576Е40ЕВ7223</w:t>
      </w:r>
    </w:p>
    <w:p>
      <w:pPr>
        <w:pStyle w:val="Style23"/>
        <w:keepNext w:val="0"/>
        <w:keepLines w:val="0"/>
        <w:widowControl w:val="0"/>
        <w:shd w:val="clear" w:color="auto" w:fill="auto"/>
        <w:bidi w:val="0"/>
        <w:spacing w:before="0" w:after="0" w:line="240" w:lineRule="auto"/>
        <w:ind w:right="0" w:firstLine="0"/>
        <w:jc w:val="left"/>
      </w:pPr>
      <w:r>
        <mc:AlternateContent>
          <mc:Choice Requires="wps">
            <w:drawing>
              <wp:anchor distT="0" distB="0" distL="0" distR="0" simplePos="0" relativeHeight="125829378" behindDoc="0" locked="0" layoutInCell="1" allowOverlap="1">
                <wp:simplePos x="0" y="0"/>
                <wp:positionH relativeFrom="page">
                  <wp:posOffset>6259195</wp:posOffset>
                </wp:positionH>
                <wp:positionV relativeFrom="paragraph">
                  <wp:posOffset>114300</wp:posOffset>
                </wp:positionV>
                <wp:extent cx="929640" cy="231775"/>
                <wp:wrapSquare wrapText="bothSides"/>
                <wp:docPr id="21" name="Shape 21"/>
                <a:graphic xmlns:a="http://schemas.openxmlformats.org/drawingml/2006/main">
                  <a:graphicData uri="http://schemas.microsoft.com/office/word/2010/wordprocessingShape">
                    <wps:wsp>
                      <wps:cNvSpPr txBox="1"/>
                      <wps:spPr>
                        <a:xfrm>
                          <a:ext cx="929640" cy="23177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Г.С. Иванова</w:t>
                            </w:r>
                          </w:p>
                        </w:txbxContent>
                      </wps:txbx>
                      <wps:bodyPr wrap="none" lIns="0" tIns="0" rIns="0" bIns="0">
                        <a:noAutoFit/>
                      </wps:bodyPr>
                    </wps:wsp>
                  </a:graphicData>
                </a:graphic>
              </wp:anchor>
            </w:drawing>
          </mc:Choice>
          <mc:Fallback>
            <w:pict>
              <v:shape id="_x0000_s1047" type="#_x0000_t202" style="position:absolute;margin-left:492.85000000000002pt;margin-top:9.pt;width:73.200000000000003pt;height:18.25pt;z-index:-125829375;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Г.С. Иванова</w:t>
                      </w:r>
                    </w:p>
                  </w:txbxContent>
                </v:textbox>
                <w10:wrap type="square" anchorx="page"/>
              </v:shape>
            </w:pict>
          </mc:Fallback>
        </mc:AlternateContent>
      </w:r>
      <w:r>
        <w:rPr>
          <w:rStyle w:val="CharStyle24"/>
        </w:rPr>
        <w:t xml:space="preserve">Действителен с </w:t>
      </w:r>
      <w:r>
        <w:rPr>
          <w:rStyle w:val="CharStyle24"/>
          <w:color w:val="5C5C5C"/>
        </w:rPr>
        <w:t>20.08.2025 по 1</w:t>
      </w:r>
      <w:r>
        <w:rPr>
          <w:rStyle w:val="CharStyle24"/>
        </w:rPr>
        <w:t>3.1</w:t>
      </w:r>
      <w:r>
        <w:rPr>
          <w:rStyle w:val="CharStyle24"/>
          <w:color w:val="292929"/>
        </w:rPr>
        <w:t>1</w:t>
      </w:r>
      <w:r>
        <w:rPr>
          <w:rStyle w:val="CharStyle24"/>
        </w:rPr>
        <w:t>.2026</w:t>
      </w:r>
    </w:p>
    <w:p>
      <w:pPr>
        <w:framePr w:w="610" w:h="893" w:hSpace="2813" w:wrap="notBeside" w:vAnchor="text" w:hAnchor="text" w:x="3030" w:y="1"/>
        <w:widowControl w:val="0"/>
        <w:rPr>
          <w:sz w:val="2"/>
          <w:szCs w:val="2"/>
        </w:rPr>
      </w:pPr>
      <w:r>
        <w:drawing>
          <wp:inline>
            <wp:extent cx="389890" cy="567055"/>
            <wp:docPr id="23" name="Picutre 23"/>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9"/>
                    <a:stretch/>
                  </pic:blipFill>
                  <pic:spPr>
                    <a:xfrm>
                      <a:ext cx="389890" cy="567055"/>
                    </a:xfrm>
                    <a:prstGeom prst="rect"/>
                  </pic:spPr>
                </pic:pic>
              </a:graphicData>
            </a:graphic>
          </wp:inline>
        </w:drawing>
      </w:r>
    </w:p>
    <w:p>
      <w:pPr>
        <w:widowControl w:val="0"/>
        <w:spacing w:line="1" w:lineRule="exact"/>
      </w:pPr>
      <w:r>
        <mc:AlternateContent>
          <mc:Choice Requires="wps">
            <w:drawing>
              <wp:anchor distT="0" distB="0" distL="1923415" distR="1463040" simplePos="0" relativeHeight="125829380" behindDoc="0" locked="0" layoutInCell="1" allowOverlap="1">
                <wp:simplePos x="0" y="0"/>
                <wp:positionH relativeFrom="column">
                  <wp:posOffset>2414270</wp:posOffset>
                </wp:positionH>
                <wp:positionV relativeFrom="paragraph">
                  <wp:posOffset>450850</wp:posOffset>
                </wp:positionV>
                <wp:extent cx="1283335" cy="100330"/>
                <wp:wrapTopAndBottom/>
                <wp:docPr id="24" name="Shape 24"/>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wps:txbx>
                      <wps:bodyPr lIns="0" tIns="0" rIns="0" bIns="0">
                        <a:noAutoFit/>
                      </wps:bodyPr>
                    </wps:wsp>
                  </a:graphicData>
                </a:graphic>
              </wp:anchor>
            </w:drawing>
          </mc:Choice>
          <mc:Fallback>
            <w:pict>
              <v:shape id="_x0000_s1050" type="#_x0000_t202" style="position:absolute;margin-left:190.09999999999999pt;margin-top:35.5pt;width:101.05pt;height:7.9000000000000004pt;z-index:-125829373;mso-wrap-distance-left:151.45000000000002pt;mso-wrap-distance-right:115.2pt"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9"/>
                          <w:color w:val="FFFFFF"/>
                          <w:sz w:val="12"/>
                          <w:szCs w:val="12"/>
                        </w:rPr>
                        <w:t>СВЕДЕНИЯ О СЕРТИФИКАТЕ ЭП</w:t>
                      </w:r>
                    </w:p>
                  </w:txbxContent>
                </v:textbox>
                <w10:wrap type="topAndBottom"/>
              </v:shape>
            </w:pict>
          </mc:Fallback>
        </mc:AlternateContent>
      </w:r>
      <w:r>
        <mc:AlternateContent>
          <mc:Choice Requires="wps">
            <w:drawing>
              <wp:anchor distT="0" distB="0" distL="1923415" distR="1463040" simplePos="0" relativeHeight="125829382" behindDoc="0" locked="0" layoutInCell="1" allowOverlap="1">
                <wp:simplePos x="0" y="0"/>
                <wp:positionH relativeFrom="column">
                  <wp:posOffset>2374265</wp:posOffset>
                </wp:positionH>
                <wp:positionV relativeFrom="paragraph">
                  <wp:posOffset>133985</wp:posOffset>
                </wp:positionV>
                <wp:extent cx="1722120" cy="259080"/>
                <wp:wrapTopAndBottom/>
                <wp:docPr id="26" name="Shape 2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2" type="#_x0000_t202" style="position:absolute;margin-left:186.95000000000002pt;margin-top:10.550000000000001pt;width:135.59999999999999pt;height:20.400000000000002pt;z-index:-125829371;mso-wrap-distance-left:151.45000000000002pt;mso-wrap-distance-right:115.2pt"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rStyle w:val="CharStyle29"/>
                        </w:rPr>
                        <w:t>Подлинник электронного документа, подписанного ЭП, хранится в системе электронного документооборота ФАС России</w:t>
                      </w:r>
                    </w:p>
                  </w:txbxContent>
                </v:textbox>
                <w10:wrap type="topAndBottom"/>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Иванова Галина Сергеевна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92929"/>
        </w:rPr>
        <w:t xml:space="preserve">№ </w:t>
      </w:r>
      <w:r>
        <w:rPr>
          <w:rStyle w:val="CharStyle24"/>
          <w:lang w:val="en-US" w:eastAsia="en-US"/>
        </w:rPr>
        <w:t>58163184756BD0B7548E57D472DE02EF</w:t>
      </w:r>
    </w:p>
    <w:p>
      <w:pPr>
        <w:pStyle w:val="Style23"/>
        <w:keepNext w:val="0"/>
        <w:keepLines w:val="0"/>
        <w:widowControl w:val="0"/>
        <w:shd w:val="clear" w:color="auto" w:fill="auto"/>
        <w:bidi w:val="0"/>
        <w:spacing w:before="0" w:after="200" w:line="240" w:lineRule="auto"/>
        <w:ind w:right="0" w:firstLine="0"/>
        <w:jc w:val="left"/>
      </w:pPr>
      <w:r>
        <w:rPr>
          <w:rStyle w:val="CharStyle24"/>
        </w:rPr>
        <w:t xml:space="preserve">Действителен с 26.06.2025 </w:t>
      </w:r>
      <w:r>
        <w:rPr>
          <w:rStyle w:val="CharStyle24"/>
          <w:color w:val="5C5C5C"/>
        </w:rPr>
        <w:t xml:space="preserve">по </w:t>
      </w:r>
      <w:r>
        <w:rPr>
          <w:rStyle w:val="CharStyle24"/>
        </w:rPr>
        <w:t>19.09.2026</w:t>
      </w:r>
    </w:p>
    <w:p>
      <w:pPr>
        <w:pStyle w:val="Style31"/>
        <w:keepNext w:val="0"/>
        <w:keepLines w:val="0"/>
        <w:widowControl w:val="0"/>
        <w:shd w:val="clear" w:color="auto" w:fill="auto"/>
        <w:bidi w:val="0"/>
        <w:spacing w:before="0" w:after="0" w:line="240" w:lineRule="auto"/>
        <w:ind w:left="0" w:right="0" w:firstLine="0"/>
        <w:jc w:val="left"/>
      </w:pPr>
      <w:r>
        <w:rPr>
          <w:rStyle w:val="CharStyle32"/>
        </w:rPr>
        <w:t>Исп.Левченко И.И.</w:t>
      </w:r>
    </w:p>
    <w:p>
      <w:pPr>
        <w:pStyle w:val="Style31"/>
        <w:keepNext w:val="0"/>
        <w:keepLines w:val="0"/>
        <w:widowControl w:val="0"/>
        <w:shd w:val="clear" w:color="auto" w:fill="auto"/>
        <w:bidi w:val="0"/>
        <w:spacing w:before="0" w:after="0" w:line="240" w:lineRule="auto"/>
        <w:ind w:left="0" w:right="0" w:firstLine="0"/>
        <w:jc w:val="left"/>
      </w:pPr>
      <w:r>
        <w:rPr>
          <w:rStyle w:val="CharStyle32"/>
        </w:rPr>
        <w:t>тел.8(4162)37-21-73; вн. 028-217</w:t>
      </w:r>
    </w:p>
    <w:sectPr>
      <w:footnotePr>
        <w:pos w:val="pageBottom"/>
        <w:numFmt w:val="decimal"/>
        <w:numRestart w:val="continuous"/>
      </w:footnotePr>
      <w:type w:val="continuous"/>
      <w:pgSz w:w="11900" w:h="16840"/>
      <w:pgMar w:top="1666" w:right="2043" w:bottom="1325"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10010140</wp:posOffset>
              </wp:positionV>
              <wp:extent cx="658495" cy="128270"/>
              <wp:wrapNone/>
              <wp:docPr id="3" name="Shape 3"/>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2025-3847</w:t>
                          </w:r>
                        </w:p>
                      </w:txbxContent>
                    </wps:txbx>
                    <wps:bodyPr wrap="none" lIns="0" tIns="0" rIns="0" bIns="0">
                      <a:spAutoFit/>
                    </wps:bodyPr>
                  </wps:wsp>
                </a:graphicData>
              </a:graphic>
            </wp:anchor>
          </w:drawing>
        </mc:Choice>
        <mc:Fallback>
          <w:pict>
            <v:shape id="_x0000_s1029" type="#_x0000_t202" style="position:absolute;margin-left:57.pt;margin-top:788.20000000000005pt;width:51.850000000000001pt;height:10.1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2025-3847</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9851390</wp:posOffset>
              </wp:positionV>
              <wp:extent cx="658495" cy="128270"/>
              <wp:wrapNone/>
              <wp:docPr id="5" name="Shape 5"/>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2025-3847</w:t>
                          </w:r>
                        </w:p>
                      </w:txbxContent>
                    </wps:txbx>
                    <wps:bodyPr wrap="none" lIns="0" tIns="0" rIns="0" bIns="0">
                      <a:spAutoFit/>
                    </wps:bodyPr>
                  </wps:wsp>
                </a:graphicData>
              </a:graphic>
            </wp:anchor>
          </w:drawing>
        </mc:Choice>
        <mc:Fallback>
          <w:pict>
            <v:shape id="_x0000_s1031" type="#_x0000_t202" style="position:absolute;margin-left:57.pt;margin-top:775.70000000000005pt;width:51.850000000000001pt;height:10.1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2025-3847</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723900</wp:posOffset>
              </wp:positionH>
              <wp:positionV relativeFrom="page">
                <wp:posOffset>10010140</wp:posOffset>
              </wp:positionV>
              <wp:extent cx="658495" cy="128270"/>
              <wp:wrapNone/>
              <wp:docPr id="11" name="Shape 11"/>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2025-3847</w:t>
                          </w:r>
                        </w:p>
                      </w:txbxContent>
                    </wps:txbx>
                    <wps:bodyPr wrap="none" lIns="0" tIns="0" rIns="0" bIns="0">
                      <a:spAutoFit/>
                    </wps:bodyPr>
                  </wps:wsp>
                </a:graphicData>
              </a:graphic>
            </wp:anchor>
          </w:drawing>
        </mc:Choice>
        <mc:Fallback>
          <w:pict>
            <v:shape id="_x0000_s1037" type="#_x0000_t202" style="position:absolute;margin-left:57.pt;margin-top:788.20000000000005pt;width:51.850000000000001pt;height:10.1pt;z-index:-18874405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2025-3847</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723900</wp:posOffset>
              </wp:positionH>
              <wp:positionV relativeFrom="page">
                <wp:posOffset>10010140</wp:posOffset>
              </wp:positionV>
              <wp:extent cx="658495" cy="128270"/>
              <wp:wrapNone/>
              <wp:docPr id="17" name="Shape 17"/>
              <a:graphic xmlns:a="http://schemas.openxmlformats.org/drawingml/2006/main">
                <a:graphicData uri="http://schemas.microsoft.com/office/word/2010/wordprocessingShape">
                  <wps:wsp>
                    <wps:cNvSpPr txBox="1"/>
                    <wps:spPr>
                      <a:xfrm>
                        <a:ext cx="658495" cy="12827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2025-3847</w:t>
                          </w:r>
                        </w:p>
                      </w:txbxContent>
                    </wps:txbx>
                    <wps:bodyPr wrap="none" lIns="0" tIns="0" rIns="0" bIns="0">
                      <a:spAutoFit/>
                    </wps:bodyPr>
                  </wps:wsp>
                </a:graphicData>
              </a:graphic>
            </wp:anchor>
          </w:drawing>
        </mc:Choice>
        <mc:Fallback>
          <w:pict>
            <v:shape id="_x0000_s1043" type="#_x0000_t202" style="position:absolute;margin-left:57.pt;margin-top:788.20000000000005pt;width:51.850000000000001pt;height:10.1pt;z-index:-18874404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rStyle w:val="CharStyle6"/>
                        <w:sz w:val="24"/>
                        <w:szCs w:val="24"/>
                      </w:rPr>
                      <w:t>2025-3847</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3924300</wp:posOffset>
              </wp:positionH>
              <wp:positionV relativeFrom="page">
                <wp:posOffset>739775</wp:posOffset>
              </wp:positionV>
              <wp:extent cx="73025" cy="69850"/>
              <wp:wrapNone/>
              <wp:docPr id="1" name="Shape 1"/>
              <a:graphic xmlns:a="http://schemas.openxmlformats.org/drawingml/2006/main">
                <a:graphicData uri="http://schemas.microsoft.com/office/word/2010/wordprocessingShape">
                  <wps:wsp>
                    <wps:cNvSpPr txBox="1"/>
                    <wps:spPr>
                      <a:xfrm>
                        <a:ext cx="73025"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pt;margin-top:58.25pt;width:5.75pt;height:5.5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759460</wp:posOffset>
              </wp:positionV>
              <wp:extent cx="67310" cy="88265"/>
              <wp:wrapNone/>
              <wp:docPr id="7" name="Shape 7"/>
              <a:graphic xmlns:a="http://schemas.openxmlformats.org/drawingml/2006/main">
                <a:graphicData uri="http://schemas.microsoft.com/office/word/2010/wordprocessingShape">
                  <wps:wsp>
                    <wps:cNvSpPr txBox="1"/>
                    <wps:spPr>
                      <a:xfrm>
                        <a:ext cx="67310" cy="882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9.25pt;margin-top:59.800000000000004pt;width:5.2999999999999998pt;height:6.9500000000000002pt;z-index:-188744057;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3924300</wp:posOffset>
              </wp:positionH>
              <wp:positionV relativeFrom="page">
                <wp:posOffset>739775</wp:posOffset>
              </wp:positionV>
              <wp:extent cx="73025" cy="69850"/>
              <wp:wrapNone/>
              <wp:docPr id="9" name="Shape 9"/>
              <a:graphic xmlns:a="http://schemas.openxmlformats.org/drawingml/2006/main">
                <a:graphicData uri="http://schemas.microsoft.com/office/word/2010/wordprocessingShape">
                  <wps:wsp>
                    <wps:cNvSpPr txBox="1"/>
                    <wps:spPr>
                      <a:xfrm>
                        <a:ext cx="73025"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9.pt;margin-top:58.25pt;width:5.75pt;height:5.5pt;z-index:-188744055;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3927475</wp:posOffset>
              </wp:positionH>
              <wp:positionV relativeFrom="page">
                <wp:posOffset>759460</wp:posOffset>
              </wp:positionV>
              <wp:extent cx="67310" cy="88265"/>
              <wp:wrapNone/>
              <wp:docPr id="13" name="Shape 13"/>
              <a:graphic xmlns:a="http://schemas.openxmlformats.org/drawingml/2006/main">
                <a:graphicData uri="http://schemas.microsoft.com/office/word/2010/wordprocessingShape">
                  <wps:wsp>
                    <wps:cNvSpPr txBox="1"/>
                    <wps:spPr>
                      <a:xfrm>
                        <a:ext cx="67310" cy="8826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9.25pt;margin-top:59.800000000000004pt;width:5.2999999999999998pt;height:6.9500000000000002pt;z-index:-18874405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3924300</wp:posOffset>
              </wp:positionH>
              <wp:positionV relativeFrom="page">
                <wp:posOffset>739775</wp:posOffset>
              </wp:positionV>
              <wp:extent cx="73025" cy="69850"/>
              <wp:wrapNone/>
              <wp:docPr id="15" name="Shape 15"/>
              <a:graphic xmlns:a="http://schemas.openxmlformats.org/drawingml/2006/main">
                <a:graphicData uri="http://schemas.microsoft.com/office/word/2010/wordprocessingShape">
                  <wps:wsp>
                    <wps:cNvSpPr txBox="1"/>
                    <wps:spPr>
                      <a:xfrm>
                        <a:ext cx="73025" cy="6985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9.pt;margin-top:58.25pt;width:5.75pt;height:5.5pt;z-index:-18874404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6"/>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6">
    <w:name w:val="Header or footer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Body text (5)_"/>
    <w:basedOn w:val="DefaultParagraphFont"/>
    <w:link w:val="Style8"/>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1">
    <w:name w:val="Heading #2_"/>
    <w:basedOn w:val="DefaultParagraphFont"/>
    <w:link w:val="Style10"/>
    <w:rPr>
      <w:rFonts w:ascii="Times New Roman" w:eastAsia="Times New Roman" w:hAnsi="Times New Roman" w:cs="Times New Roman"/>
      <w:b w:val="0"/>
      <w:bCs w:val="0"/>
      <w:i w:val="0"/>
      <w:iCs w:val="0"/>
      <w:smallCaps w:val="0"/>
      <w:strike w:val="0"/>
      <w:sz w:val="30"/>
      <w:szCs w:val="30"/>
      <w:u w:val="singl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Heading #1_"/>
    <w:basedOn w:val="DefaultParagraphFont"/>
    <w:link w:val="Style18"/>
    <w:rPr>
      <w:rFonts w:ascii="Arial" w:eastAsia="Arial" w:hAnsi="Arial" w:cs="Arial"/>
      <w:b w:val="0"/>
      <w:bCs w:val="0"/>
      <w:i w:val="0"/>
      <w:iCs w:val="0"/>
      <w:smallCaps w:val="0"/>
      <w:strike w:val="0"/>
      <w:sz w:val="36"/>
      <w:szCs w:val="36"/>
      <w:u w:val="none"/>
      <w:lang w:val="en-US" w:eastAsia="en-US"/>
    </w:rPr>
  </w:style>
  <w:style w:type="character" w:customStyle="1" w:styleId="CharStyle21">
    <w:name w:val="Body text (4)_"/>
    <w:basedOn w:val="DefaultParagraphFont"/>
    <w:link w:val="Style20"/>
    <w:rPr>
      <w:rFonts w:ascii="Georgia" w:eastAsia="Georgia" w:hAnsi="Georgia" w:cs="Georgia"/>
      <w:b w:val="0"/>
      <w:bCs w:val="0"/>
      <w:i w:val="0"/>
      <w:iCs w:val="0"/>
      <w:smallCaps w:val="0"/>
      <w:strike w:val="0"/>
      <w:color w:val="292929"/>
      <w:sz w:val="11"/>
      <w:szCs w:val="11"/>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3F3F3F"/>
      <w:sz w:val="12"/>
      <w:szCs w:val="12"/>
      <w:u w:val="none"/>
    </w:rPr>
  </w:style>
  <w:style w:type="character" w:customStyle="1" w:styleId="CharStyle29">
    <w:name w:val="Picture caption_"/>
    <w:basedOn w:val="DefaultParagraphFont"/>
    <w:link w:val="Style28"/>
    <w:rPr>
      <w:rFonts w:ascii="Georgia" w:eastAsia="Georgia" w:hAnsi="Georgia" w:cs="Georgia"/>
      <w:b w:val="0"/>
      <w:bCs w:val="0"/>
      <w:i w:val="0"/>
      <w:iCs w:val="0"/>
      <w:smallCaps w:val="0"/>
      <w:strike w:val="0"/>
      <w:color w:val="292929"/>
      <w:sz w:val="11"/>
      <w:szCs w:val="11"/>
      <w:u w:val="none"/>
    </w:rPr>
  </w:style>
  <w:style w:type="character" w:customStyle="1" w:styleId="CharStyle32">
    <w:name w:val="Body text (6)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5">
    <w:name w:val="Header or footer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Body text (5)"/>
    <w:basedOn w:val="Normal"/>
    <w:link w:val="CharStyle9"/>
    <w:pPr>
      <w:widowControl w:val="0"/>
      <w:shd w:val="clear" w:color="auto" w:fill="auto"/>
      <w:spacing w:after="22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0">
    <w:name w:val="Heading #2"/>
    <w:basedOn w:val="Normal"/>
    <w:link w:val="CharStyle11"/>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Heading #1"/>
    <w:basedOn w:val="Normal"/>
    <w:link w:val="CharStyle19"/>
    <w:pPr>
      <w:widowControl w:val="0"/>
      <w:shd w:val="clear" w:color="auto" w:fill="auto"/>
      <w:spacing w:after="18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0">
    <w:name w:val="Body text (4)"/>
    <w:basedOn w:val="Normal"/>
    <w:link w:val="CharStyle21"/>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3">
    <w:name w:val="Body text (2)"/>
    <w:basedOn w:val="Normal"/>
    <w:link w:val="CharStyle24"/>
    <w:pPr>
      <w:widowControl w:val="0"/>
      <w:shd w:val="clear" w:color="auto" w:fill="auto"/>
      <w:ind w:left="3100"/>
    </w:pPr>
    <w:rPr>
      <w:rFonts w:ascii="Arial" w:eastAsia="Arial" w:hAnsi="Arial" w:cs="Arial"/>
      <w:b w:val="0"/>
      <w:bCs w:val="0"/>
      <w:i w:val="0"/>
      <w:iCs w:val="0"/>
      <w:smallCaps w:val="0"/>
      <w:strike w:val="0"/>
      <w:color w:val="3F3F3F"/>
      <w:sz w:val="12"/>
      <w:szCs w:val="12"/>
      <w:u w:val="none"/>
    </w:rPr>
  </w:style>
  <w:style w:type="paragraph" w:customStyle="1" w:styleId="Style28">
    <w:name w:val="Picture caption"/>
    <w:basedOn w:val="Normal"/>
    <w:link w:val="CharStyle29"/>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31">
    <w:name w:val="Body text (6)"/>
    <w:basedOn w:val="Normal"/>
    <w:link w:val="CharStyle32"/>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image" Target="media/image1.jpeg"/><Relationship Id="rId18" Type="http://schemas.openxmlformats.org/officeDocument/2006/relationships/image" Target="media/image1.jpeg" TargetMode="External"/><Relationship Id="rId19" Type="http://schemas.openxmlformats.org/officeDocument/2006/relationships/image" Target="media/image2.jpeg"/><Relationship Id="rId20" Type="http://schemas.openxmlformats.org/officeDocument/2006/relationships/image" Target="media/image2.jpeg" TargetMode="External"/></Relationships>
</file>