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1779905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798195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03.09.2025</w:t>
                              <w:tab/>
                            </w:r>
                            <w:r>
                              <w:fldChar w:fldCharType="end"/>
                            </w:r>
                            <w:r>
                              <w:rPr>
                                <w:rStyle w:val="CharStyle7"/>
                                <w:sz w:val="30"/>
                                <w:szCs w:val="30"/>
                              </w:rPr>
                              <w:t>№ 35469/25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850000000000001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03.09.2025</w:t>
                        <w:tab/>
                      </w:r>
                      <w:r>
                        <w:fldChar w:fldCharType="end"/>
                      </w:r>
                      <w:r>
                        <w:rPr>
                          <w:rStyle w:val="CharStyle7"/>
                          <w:sz w:val="30"/>
                          <w:szCs w:val="30"/>
                        </w:rPr>
                        <w:t>№ 35469/25</w:t>
                      </w:r>
                    </w:p>
                  </w:txbxContent>
                </v:textbox>
                <w10:wrap type="square" side="right" anchorx="page"/>
              </v:shape>
            </w:pict>
          </mc:Fallback>
        </mc:AlternateContent>
      </w:r>
      <w:r>
        <w:drawing>
          <wp:anchor distT="304800" distB="0" distL="114300" distR="114300" simplePos="0" relativeHeight="125829381" behindDoc="0" locked="0" layoutInCell="1" allowOverlap="1">
            <wp:simplePos x="0" y="0"/>
            <wp:positionH relativeFrom="page">
              <wp:posOffset>712470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rStyle w:val="CharStyle7"/>
        </w:rPr>
        <w:t>ИП Шамин И.П.</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"mailto:7769332@gmail.com" </w:instrText>
      </w:r>
      <w:r>
        <w:fldChar w:fldCharType="separate"/>
      </w:r>
      <w:r>
        <w:rPr>
          <w:rStyle w:val="CharStyle7"/>
          <w:lang w:val="en-US" w:eastAsia="en-US"/>
        </w:rPr>
        <w:t>7769332@gmail.com</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ГБУЗ «ГКБ им. В.П. Демихова ДЗМ»</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"mailto:gkb13-torg@zdrav.mos.ru" </w:instrText>
      </w:r>
      <w:r>
        <w:fldChar w:fldCharType="separate"/>
      </w:r>
      <w:r>
        <w:rPr>
          <w:rStyle w:val="CharStyle7"/>
          <w:lang w:val="en-US" w:eastAsia="en-US"/>
        </w:rPr>
        <w:t>gkb13-torg@zdrav.mos.ru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АО «ЕЭТП»</w:t>
      </w:r>
    </w:p>
    <w:p>
      <w:pPr>
        <w:pStyle w:val="Style6"/>
        <w:keepNext w:val="0"/>
        <w:keepLines w:val="0"/>
        <w:widowControl w:val="0"/>
        <w:shd w:val="clear" w:color="auto" w:fill="auto"/>
        <w:bidi w:val="0"/>
        <w:spacing w:before="0" w:after="1380" w:line="240" w:lineRule="auto"/>
        <w:ind w:left="5320" w:right="0" w:firstLine="0"/>
        <w:jc w:val="both"/>
      </w:pPr>
      <w:r>
        <w:fldChar w:fldCharType="begin"/>
      </w:r>
      <w:r>
        <w:rPr/>
        <w:instrText> HYPERLINK "mailto:ko@roseltorg.ru" </w:instrText>
      </w:r>
      <w:r>
        <w:fldChar w:fldCharType="separate"/>
      </w:r>
      <w:r>
        <w:rPr>
          <w:rStyle w:val="CharStyle7"/>
          <w:lang w:val="en-US" w:eastAsia="en-US"/>
        </w:rPr>
        <w:t>ko@roseltorg.ru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077/06/106-10778/2025 </w:t>
      </w:r>
      <w:r>
        <w:rPr>
          <w:rStyle w:val="CharStyle7"/>
          <w:b/>
          <w:bCs/>
        </w:rPr>
        <w:t>о нарушении</w:t>
        <w:br/>
        <w:t>законодательства о контрактной системе</w:t>
        <w:br/>
      </w:r>
      <w:r>
        <w:rPr>
          <w:rStyle w:val="CharStyle7"/>
          <w:b/>
          <w:bCs/>
          <w:lang w:val="en-US" w:eastAsia="en-US"/>
        </w:rPr>
        <w:t>01.09.2025</w:t>
        <w:tab/>
      </w:r>
      <w:r>
        <w:rPr>
          <w:rStyle w:val="CharStyle7"/>
          <w:b/>
          <w:bCs/>
        </w:rPr>
        <w:t>г. Москва</w:t>
      </w:r>
    </w:p>
    <w:p>
      <w:pPr>
        <w:pStyle w:val="Style6"/>
        <w:keepNext w:val="0"/>
        <w:keepLines w:val="0"/>
        <w:widowControl w:val="0"/>
        <w:shd w:val="clear" w:color="auto" w:fill="auto"/>
        <w:tabs>
          <w:tab w:pos="2178" w:val="left"/>
        </w:tabs>
        <w:bidi w:val="0"/>
        <w:spacing w:before="0" w:after="0" w:line="240" w:lineRule="auto"/>
        <w:ind w:left="0" w:right="0" w:firstLine="700"/>
        <w:jc w:val="both"/>
      </w:pPr>
      <w:r>
        <w:rPr>
          <w:rStyle w:val="CharStyle7"/>
        </w:rPr>
        <w:t>Комиссия</w:t>
        <w:tab/>
        <w:t>Управления Федеральной антимонопольной службы по</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г. Москве по контролю в сфере закупок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ГБУЗ «ГКБ им. В.П. Демихова ДЗМ»: В.В. Соколовой (по доверенности </w:t>
      </w:r>
      <w:r>
        <w:rPr>
          <w:rStyle w:val="CharStyle7"/>
          <w:lang w:val="en-US" w:eastAsia="en-US"/>
        </w:rPr>
        <w:t xml:space="preserve">№ 007 </w:t>
      </w:r>
      <w:r>
        <w:rPr>
          <w:rStyle w:val="CharStyle7"/>
        </w:rPr>
        <w:t xml:space="preserve">от </w:t>
      </w:r>
      <w:r>
        <w:rPr>
          <w:rStyle w:val="CharStyle7"/>
          <w:lang w:val="en-US" w:eastAsia="en-US"/>
        </w:rPr>
        <w:t>23.09.2024);</w:t>
      </w:r>
    </w:p>
    <w:p>
      <w:pPr>
        <w:pStyle w:val="Style6"/>
        <w:keepNext w:val="0"/>
        <w:keepLines w:val="0"/>
        <w:widowControl w:val="0"/>
        <w:shd w:val="clear" w:color="auto" w:fill="auto"/>
        <w:bidi w:val="0"/>
        <w:spacing w:before="0" w:after="0" w:line="240" w:lineRule="auto"/>
        <w:ind w:left="0" w:right="0" w:firstLine="700"/>
        <w:jc w:val="both"/>
      </w:pPr>
      <w:r>
        <w:rPr>
          <w:rStyle w:val="CharStyle7"/>
        </w:rPr>
        <w:t>ИП Шамин И.П.: И.П. Шамина,</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Шамин И.П. (далее </w:t>
      </w:r>
      <w:r>
        <w:rPr>
          <w:rStyle w:val="CharStyle7"/>
          <w:lang w:val="en-US" w:eastAsia="en-US"/>
        </w:rPr>
        <w:t xml:space="preserve">— </w:t>
      </w:r>
      <w:r>
        <w:rPr>
          <w:rStyle w:val="CharStyle7"/>
        </w:rPr>
        <w:t xml:space="preserve">Заявитель) на действия ГБУЗ «ГКБ им. В.П. Демихова ДЗМ»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средств дезинфекционных для операционных блоков ГБУЗ «ГКБ им. В.П. Демихова ДЗМ» в 2025г. (Закупка </w:t>
      </w:r>
      <w:r>
        <w:rPr>
          <w:rStyle w:val="CharStyle7"/>
          <w:lang w:val="en-US" w:eastAsia="en-US"/>
        </w:rPr>
        <w:t xml:space="preserve">№ 0373200100125000931) </w:t>
      </w:r>
      <w:r>
        <w:rPr>
          <w:rStyle w:val="CharStyle7"/>
        </w:rPr>
        <w:t xml:space="preserve">(далее </w:t>
      </w:r>
      <w:r>
        <w:rPr>
          <w:rStyle w:val="CharStyle7"/>
          <w:lang w:val="en-US" w:eastAsia="en-US"/>
        </w:rPr>
        <w:t xml:space="preserve">–аукцион), </w:t>
      </w:r>
      <w:r>
        <w:rPr>
          <w:rStyle w:val="CharStyle7"/>
        </w:rPr>
        <w:t xml:space="preserve">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rStyle w:val="CharStyle7"/>
        </w:rPr>
        <w:t>В результате рассмотрения жалобы, рассмотрев представленные документы и сведения запрашиваемые посредством Единой информационной системы,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rStyle w:val="CharStyle7"/>
        </w:rPr>
        <w:t>Заявитель обжалует действия комиссии Заказчика, выразившиеся в неправомерном отклонении заявки Заявителя.</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26.08.2025 </w:t>
      </w:r>
      <w:r>
        <w:rPr>
          <w:rStyle w:val="CharStyle7"/>
        </w:rPr>
        <w:t xml:space="preserve">№ИЭА1 заявка ИП Шамин И.П., с идентификационным номером </w:t>
      </w:r>
      <w:r>
        <w:rPr>
          <w:rStyle w:val="CharStyle7"/>
          <w:lang w:val="en-US" w:eastAsia="en-US"/>
        </w:rPr>
        <w:t xml:space="preserve">2262565, </w:t>
      </w:r>
      <w:r>
        <w:rPr>
          <w:rStyle w:val="CharStyle7"/>
        </w:rPr>
        <w:t>отклонена на следующем основании: «</w:t>
      </w:r>
      <w:r>
        <w:rPr>
          <w:rStyle w:val="CharStyle7"/>
          <w:i/>
          <w:iCs/>
        </w:rPr>
        <w:t xml:space="preserve">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7"/>
          <w:i/>
          <w:iCs/>
          <w:lang w:val="en-US" w:eastAsia="en-US"/>
        </w:rPr>
        <w:t xml:space="preserve">2, 3 </w:t>
      </w:r>
      <w:r>
        <w:rPr>
          <w:rStyle w:val="CharStyle7"/>
          <w:i/>
          <w:iCs/>
        </w:rPr>
        <w:t xml:space="preserve">ч. </w:t>
      </w:r>
      <w:r>
        <w:rPr>
          <w:rStyle w:val="CharStyle7"/>
          <w:i/>
          <w:iCs/>
          <w:lang w:val="en-US" w:eastAsia="en-US"/>
        </w:rPr>
        <w:t xml:space="preserve">6 </w:t>
      </w:r>
      <w:r>
        <w:rPr>
          <w:rStyle w:val="CharStyle7"/>
          <w:i/>
          <w:iCs/>
        </w:rPr>
        <w:t xml:space="preserve">ст. </w:t>
      </w:r>
      <w:r>
        <w:rPr>
          <w:rStyle w:val="CharStyle7"/>
          <w:i/>
          <w:iCs/>
          <w:lang w:val="en-US" w:eastAsia="en-US"/>
        </w:rPr>
        <w:t xml:space="preserve">43 </w:t>
      </w:r>
      <w:r>
        <w:rPr>
          <w:rStyle w:val="CharStyle7"/>
          <w:i/>
          <w:iCs/>
        </w:rPr>
        <w:t>Закона 44-ФЗ), несоответствие таких информации и документов требованиям» Участником не предоставлена копия действующего свидетельства о государственной регистрации, требование о предоставлении которой установлено в п.12.6 Информационной карты по проведению аукциона в электронной форме»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Согласно ч.2 ст.33 Закона о контрактной системе описание объекта закупки в соответствии с требованиями, указанными в части </w:t>
      </w:r>
      <w:r>
        <w:rPr>
          <w:rStyle w:val="CharStyle7"/>
          <w:lang w:val="en-US" w:eastAsia="en-US"/>
        </w:rPr>
        <w:t xml:space="preserve">1 </w:t>
      </w:r>
      <w:r>
        <w:rPr>
          <w:rStyle w:val="CharStyle7"/>
        </w:rPr>
        <w:t>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4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22" w:right="537" w:bottom="828" w:left="1091" w:header="0" w:footer="3" w:gutter="0"/>
          <w:pgNumType w:start="1"/>
          <w:cols w:space="720"/>
          <w:noEndnote/>
          <w:titlePg/>
          <w:rtlGutter w:val="0"/>
          <w:docGrid w:linePitch="360"/>
        </w:sectPr>
      </w:pPr>
      <w:r>
        <w:rPr>
          <w:rStyle w:val="CharStyle7"/>
        </w:rPr>
        <w:t>Согласно пп.6 п.12 Информационной карты установлены следующее требование к содержанию, составу заявки на участие в электронном аукционе: «</w:t>
      </w:r>
      <w:r>
        <w:rPr>
          <w:rStyle w:val="CharStyle7"/>
          <w:i/>
          <w:iCs/>
        </w:rPr>
        <w:t>Документы или сведения,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w:t>
      </w:r>
    </w:p>
    <w:p>
      <w:pPr>
        <w:pStyle w:val="Style6"/>
        <w:keepNext w:val="0"/>
        <w:keepLines w:val="0"/>
        <w:widowControl w:val="0"/>
        <w:shd w:val="clear" w:color="auto" w:fill="auto"/>
        <w:bidi w:val="0"/>
        <w:spacing w:before="0" w:after="0" w:line="240" w:lineRule="auto"/>
        <w:ind w:left="0" w:right="0" w:firstLine="0"/>
        <w:jc w:val="both"/>
      </w:pPr>
      <w:r>
        <w:rPr>
          <w:rStyle w:val="CharStyle7"/>
          <w:i/>
          <w:iCs/>
        </w:rPr>
        <w:t>Российской Федерации они передаются вместе с товаром. Копия действующего свидетельства о государственной регистрации, выданного Федеральной службой по надзору в сфере защиты прав потребителей и благополучия человека МЗ РФ (Роспотребнадзор)».</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а)с учетом положений ч. </w:t>
      </w:r>
      <w:r>
        <w:rPr>
          <w:rStyle w:val="CharStyle7"/>
          <w:lang w:val="en-US" w:eastAsia="en-US"/>
        </w:rPr>
        <w:t xml:space="preserve">2 </w:t>
      </w:r>
      <w:r>
        <w:rPr>
          <w:rStyle w:val="CharStyle7"/>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б)наименование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rStyle w:val="CharStyle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rStyle w:val="CharStyle7"/>
        </w:rPr>
        <w:t xml:space="preserve">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 xml:space="preserve">Закона о контрактной системе предложение по критериям, предусмотренным п. </w:t>
      </w:r>
      <w:r>
        <w:rPr>
          <w:rStyle w:val="CharStyle7"/>
          <w:lang w:val="en-US" w:eastAsia="en-US"/>
        </w:rPr>
        <w:t xml:space="preserve">2 </w:t>
      </w:r>
      <w:r>
        <w:rPr>
          <w:rStyle w:val="CharStyle7"/>
        </w:rPr>
        <w:t xml:space="preserve">и (или) </w:t>
      </w:r>
      <w:r>
        <w:rPr>
          <w:rStyle w:val="CharStyle7"/>
          <w:lang w:val="en-US" w:eastAsia="en-US"/>
        </w:rPr>
        <w:t xml:space="preserve">3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32 </w:t>
      </w:r>
      <w:r>
        <w:rPr>
          <w:rStyle w:val="CharStyle7"/>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Комиссией Управления установлено, что Заявителем в составе заявки указаны характеристики, необходимых к поставке товаров, при этом в составе заявки отсутствует свидетельство о государственной регистрации.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ч. </w:t>
      </w:r>
      <w:r>
        <w:rPr>
          <w:rStyle w:val="CharStyle7"/>
          <w:lang w:val="en-US" w:eastAsia="en-US"/>
        </w:rPr>
        <w:t xml:space="preserve">1 </w:t>
      </w:r>
      <w:r>
        <w:rPr>
          <w:rStyle w:val="CharStyle7"/>
        </w:rPr>
        <w:t xml:space="preserve">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62" w:lineRule="auto"/>
        <w:ind w:left="0" w:right="0" w:firstLine="720"/>
        <w:jc w:val="both"/>
        <w:rPr>
          <w:sz w:val="24"/>
          <w:szCs w:val="24"/>
        </w:rPr>
        <w:sectPr>
          <w:headerReference w:type="default" r:id="rId13"/>
          <w:footerReference w:type="default" r:id="rId14"/>
          <w:footnotePr>
            <w:pos w:val="pageBottom"/>
            <w:numFmt w:val="decimal"/>
            <w:numRestart w:val="continuous"/>
          </w:footnotePr>
          <w:type w:val="continuous"/>
          <w:pgSz w:w="11900" w:h="16840"/>
          <w:pgMar w:top="1022" w:right="537" w:bottom="828" w:left="1091" w:header="0" w:footer="400" w:gutter="0"/>
          <w:cols w:space="720"/>
          <w:noEndnote/>
          <w:rtlGutter w:val="0"/>
          <w:docGrid w:linePitch="360"/>
        </w:sectPr>
      </w:pPr>
      <w:r>
        <w:rPr>
          <w:rStyle w:val="CharStyle7"/>
        </w:rPr>
        <w:t xml:space="preserve">На заседании Комиссии Управления представитель Заказчика пояснил, что в документе в п.12 Требования к содержанию, составу заявки на участие в аукционе указано на необходимость предоставить копию свидетельства о государственной регистрации, при этом в составе заявки Заявителя такое свидетельство отсутствует, ввиду чего заявка ИП Шамин И.П. подлежала </w:t>
      </w:r>
      <w:r>
        <w:rPr>
          <w:rStyle w:val="CharStyle7"/>
          <w:sz w:val="24"/>
          <w:szCs w:val="24"/>
          <w:lang w:val="en-US" w:eastAsia="en-US"/>
        </w:rPr>
        <w:t>2025-40181</w:t>
      </w:r>
    </w:p>
    <w:p>
      <w:pPr>
        <w:pStyle w:val="Style6"/>
        <w:keepNext w:val="0"/>
        <w:keepLines w:val="0"/>
        <w:widowControl w:val="0"/>
        <w:shd w:val="clear" w:color="auto" w:fill="auto"/>
        <w:bidi w:val="0"/>
        <w:spacing w:before="0" w:after="0" w:line="240" w:lineRule="auto"/>
        <w:ind w:left="0" w:right="0" w:firstLine="0"/>
        <w:jc w:val="both"/>
      </w:pPr>
      <w:r>
        <w:rPr>
          <w:rStyle w:val="CharStyle7"/>
        </w:rPr>
        <w:t>отклонению.</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этом в обоснование своих доводов Заявитель указывает на то, что извещение об осуществлении закупки сформировано в нарушение положений Закона о контрактной системе, в частности Заказчиком неправомерно установлено требование о предоставлении в составе заявок свидетельства о государственной регистрации.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тем довод о формировании извещения в нарушение положений Закона о контрактной системе не может быть рассмотрен Комиссией Управления при рассмотрении жалобы на действия комиссии по осуществлению закупок Заказчика, так как обжалование положений извещения, согласно п.1 ч.2 ст.105 Закона о контрактной системе, возможно до окончания срока подачи заявок на участие в закупке, а не на этапе их рассмотрения.</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свою очередь, в установленные сроки Заявитель не воспользовался своим правом и не обжаловал положения извещения об осуществлении закупки, а также не подавал Заказчику запрос о даче разъяснений положений извещения об осуществлении закупки в соответствии с ч.5 ст.42 Закона о контрактной системе, что указывает на то, что, подавая заявку, Заявитель согласился со всеми установленными Заказчиком требованиями.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тем заявка Заявителя напрямую противоречит требованиям к составу заявок установленным извещением, поскольку Заявителем не представлено свидетельство о государственной регистрации, требование о предоставлении которого в составе заявки установлено пп.6 п.12 Информационной карты.</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6"/>
        <w:keepNext w:val="0"/>
        <w:keepLines w:val="0"/>
        <w:widowControl w:val="0"/>
        <w:shd w:val="clear" w:color="auto" w:fill="auto"/>
        <w:bidi w:val="0"/>
        <w:spacing w:before="0" w:after="0" w:line="240" w:lineRule="auto"/>
        <w:ind w:left="0" w:right="0" w:firstLine="580"/>
        <w:jc w:val="both"/>
      </w:pPr>
      <w:r>
        <w:rPr>
          <w:rStyle w:val="CharStyle7"/>
        </w:rPr>
        <w:t xml:space="preserve">В силу пп. «а» п. </w:t>
      </w:r>
      <w:r>
        <w:rPr>
          <w:rStyle w:val="CharStyle7"/>
          <w:lang w:val="en-US" w:eastAsia="en-US"/>
        </w:rPr>
        <w:t xml:space="preserve">1 </w:t>
      </w:r>
      <w:r>
        <w:rPr>
          <w:rStyle w:val="CharStyle7"/>
        </w:rPr>
        <w:t xml:space="preserve">ч. </w:t>
      </w:r>
      <w:r>
        <w:rPr>
          <w:rStyle w:val="CharStyle7"/>
          <w:lang w:val="en-US" w:eastAsia="en-US"/>
        </w:rPr>
        <w:t xml:space="preserve">5 </w:t>
      </w:r>
      <w:r>
        <w:rPr>
          <w:rStyle w:val="CharStyle7"/>
        </w:rPr>
        <w:t xml:space="preserve">ст. </w:t>
      </w:r>
      <w:r>
        <w:rPr>
          <w:rStyle w:val="CharStyle7"/>
          <w:lang w:val="en-US" w:eastAsia="en-US"/>
        </w:rPr>
        <w:t xml:space="preserve">49 </w:t>
      </w:r>
      <w:r>
        <w:rPr>
          <w:rStyle w:val="CharStyle7"/>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7"/>
          <w:lang w:val="en-US" w:eastAsia="en-US"/>
        </w:rPr>
        <w:t xml:space="preserve">4 </w:t>
      </w:r>
      <w:r>
        <w:rPr>
          <w:rStyle w:val="CharStyle7"/>
        </w:rPr>
        <w:t xml:space="preserve">ч. </w:t>
      </w:r>
      <w:r>
        <w:rPr>
          <w:rStyle w:val="CharStyle7"/>
          <w:lang w:val="en-US" w:eastAsia="en-US"/>
        </w:rPr>
        <w:t xml:space="preserve">4 </w:t>
      </w:r>
      <w:r>
        <w:rPr>
          <w:rStyle w:val="CharStyle7"/>
        </w:rPr>
        <w:t xml:space="preserve">ст. </w:t>
      </w:r>
      <w:r>
        <w:rPr>
          <w:rStyle w:val="CharStyle7"/>
          <w:lang w:val="en-US" w:eastAsia="en-US"/>
        </w:rPr>
        <w:t xml:space="preserve">49 </w:t>
      </w:r>
      <w:r>
        <w:rPr>
          <w:rStyle w:val="CharStyle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w:t>
      </w:r>
      <w:r>
        <w:rPr>
          <w:rStyle w:val="CharStyle7"/>
          <w:lang w:val="en-US" w:eastAsia="en-US"/>
        </w:rPr>
        <w:t xml:space="preserve">1 - 8 </w:t>
      </w:r>
      <w:r>
        <w:rPr>
          <w:rStyle w:val="CharStyle7"/>
        </w:rPr>
        <w:t xml:space="preserve">ч. </w:t>
      </w:r>
      <w:r>
        <w:rPr>
          <w:rStyle w:val="CharStyle7"/>
          <w:lang w:val="en-US" w:eastAsia="en-US"/>
        </w:rPr>
        <w:t xml:space="preserve">12 </w:t>
      </w:r>
      <w:r>
        <w:rPr>
          <w:rStyle w:val="CharStyle7"/>
        </w:rPr>
        <w:t xml:space="preserve">ст. </w:t>
      </w:r>
      <w:r>
        <w:rPr>
          <w:rStyle w:val="CharStyle7"/>
          <w:lang w:val="en-US" w:eastAsia="en-US"/>
        </w:rPr>
        <w:t xml:space="preserve">48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04" w:val="left"/>
        </w:tabs>
        <w:bidi w:val="0"/>
        <w:spacing w:before="0" w:after="0" w:line="276" w:lineRule="auto"/>
        <w:ind w:left="0" w:right="0" w:firstLine="720"/>
        <w:jc w:val="both"/>
        <w:rPr>
          <w:sz w:val="24"/>
          <w:szCs w:val="24"/>
        </w:rPr>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w:t>
      </w:r>
      <w:r>
        <w:rPr>
          <w:rStyle w:val="CharStyle7"/>
          <w:sz w:val="24"/>
          <w:szCs w:val="24"/>
          <w:lang w:val="en-US" w:eastAsia="en-US"/>
        </w:rPr>
        <w:t>2025-40181</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извещением об осуществлении закупки в соответствии с настоящим Федеральным законом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5" w:val="left"/>
        </w:tabs>
        <w:bidi w:val="0"/>
        <w:spacing w:before="0" w:after="0" w:line="240" w:lineRule="auto"/>
        <w:ind w:left="0" w:right="0" w:firstLine="74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5" w:val="left"/>
        </w:tabs>
        <w:bidi w:val="0"/>
        <w:spacing w:before="0" w:after="0" w:line="240" w:lineRule="auto"/>
        <w:ind w:left="0" w:right="0" w:firstLine="74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системе;</w:t>
      </w:r>
    </w:p>
    <w:p>
      <w:pPr>
        <w:pStyle w:val="Style6"/>
        <w:keepNext w:val="0"/>
        <w:keepLines w:val="0"/>
        <w:widowControl w:val="0"/>
        <w:numPr>
          <w:ilvl w:val="0"/>
          <w:numId w:val="3"/>
        </w:numPr>
        <w:shd w:val="clear" w:color="auto" w:fill="auto"/>
        <w:tabs>
          <w:tab w:pos="1104" w:val="left"/>
        </w:tabs>
        <w:bidi w:val="0"/>
        <w:spacing w:before="0" w:after="0" w:line="240" w:lineRule="auto"/>
        <w:ind w:left="0" w:right="0" w:firstLine="740"/>
        <w:jc w:val="both"/>
      </w:pPr>
      <w:r>
        <w:rPr>
          <w:rStyle w:val="CharStyle7"/>
        </w:rPr>
        <w:t>предусмотренных пп. «а» п.1 (за исключением случая, предусмотренного п.5 ч.12 ст.48 Закона о контрактной системе), пп. «а» п.2 ч.4, пп. «а»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3"/>
        </w:numPr>
        <w:shd w:val="clear" w:color="auto" w:fill="auto"/>
        <w:tabs>
          <w:tab w:pos="1104" w:val="left"/>
        </w:tabs>
        <w:bidi w:val="0"/>
        <w:spacing w:before="0" w:after="0" w:line="240" w:lineRule="auto"/>
        <w:ind w:left="0" w:right="0" w:firstLine="740"/>
        <w:jc w:val="both"/>
      </w:pPr>
      <w:r>
        <w:rPr>
          <w:rStyle w:val="CharStyle7"/>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 «а»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3"/>
        </w:numPr>
        <w:shd w:val="clear" w:color="auto" w:fill="auto"/>
        <w:tabs>
          <w:tab w:pos="1104" w:val="left"/>
        </w:tabs>
        <w:bidi w:val="0"/>
        <w:spacing w:before="0" w:after="0" w:line="240" w:lineRule="auto"/>
        <w:ind w:left="0" w:right="0" w:firstLine="74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w:t>
      </w:r>
      <w:r>
        <w:rPr>
          <w:rStyle w:val="CharStyle7"/>
          <w:lang w:val="en-US" w:eastAsia="en-US"/>
        </w:rPr>
        <w:t xml:space="preserve">№ </w:t>
      </w:r>
      <w:r>
        <w:rPr>
          <w:rStyle w:val="CharStyle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44" w:val="left"/>
        </w:tabs>
        <w:bidi w:val="0"/>
        <w:spacing w:before="0" w:after="0" w:line="240" w:lineRule="auto"/>
        <w:ind w:left="0" w:right="0" w:firstLine="740"/>
        <w:jc w:val="both"/>
      </w:pPr>
      <w:r>
        <w:rPr>
          <w:rStyle w:val="CharStyle7"/>
        </w:rPr>
        <w:t xml:space="preserve">предусмотренных ч. </w:t>
      </w:r>
      <w:r>
        <w:rPr>
          <w:rStyle w:val="CharStyle7"/>
          <w:lang w:val="en-US" w:eastAsia="en-US"/>
        </w:rPr>
        <w:t xml:space="preserve">6 </w:t>
      </w:r>
      <w:r>
        <w:rPr>
          <w:rStyle w:val="CharStyle7"/>
        </w:rPr>
        <w:t xml:space="preserve">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3"/>
        </w:numPr>
        <w:shd w:val="clear" w:color="auto" w:fill="auto"/>
        <w:tabs>
          <w:tab w:pos="1105" w:val="left"/>
        </w:tabs>
        <w:bidi w:val="0"/>
        <w:spacing w:before="0" w:after="0" w:line="240" w:lineRule="auto"/>
        <w:ind w:left="0" w:right="0" w:firstLine="74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104" w:val="left"/>
        </w:tabs>
        <w:bidi w:val="0"/>
        <w:spacing w:before="0" w:after="0" w:line="240" w:lineRule="auto"/>
        <w:ind w:left="0" w:right="0" w:firstLine="740"/>
        <w:jc w:val="both"/>
      </w:pPr>
      <w:r>
        <w:rPr>
          <w:rStyle w:val="CharStyle7"/>
        </w:rPr>
        <w:t xml:space="preserve">указания информации о предложении участника закупки, предусмотренном 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Таким образом, Комиссия Управления приходит к выводу, что решение комиссии Заказчика об отклонении заявки Заявителя по основаниям, указанным в протоколе подведения итогов, является правомерным.</w:t>
      </w:r>
    </w:p>
    <w:p>
      <w:pPr>
        <w:pStyle w:val="Style6"/>
        <w:keepNext w:val="0"/>
        <w:keepLines w:val="0"/>
        <w:widowControl w:val="0"/>
        <w:shd w:val="clear" w:color="auto" w:fill="auto"/>
        <w:bidi w:val="0"/>
        <w:spacing w:before="0" w:after="0" w:line="240" w:lineRule="auto"/>
        <w:ind w:left="0" w:right="0" w:firstLine="740"/>
        <w:jc w:val="both"/>
      </w:pPr>
      <w:r>
        <w:rPr>
          <w:rStyle w:val="CharStyle7"/>
        </w:rPr>
        <w:t>Вместе с тем в ходе проведения внеплановой проверки Комиссией Управления установлено следующее.</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Комиссией Управления установлено, что согласно извещению Заказчиком закупается «Коврик дезинфекционный» с позицией КТРУ </w:t>
      </w:r>
      <w:r>
        <w:rPr>
          <w:rStyle w:val="CharStyle7"/>
          <w:lang w:val="en-US" w:eastAsia="en-US"/>
        </w:rPr>
        <w:t xml:space="preserve">20.20.14.000-00000011 </w:t>
      </w:r>
      <w:r>
        <w:rPr>
          <w:rStyle w:val="CharStyle7"/>
        </w:rPr>
        <w:t>«Коврик дезинфекционный».</w:t>
      </w:r>
    </w:p>
    <w:p>
      <w:pPr>
        <w:pStyle w:val="Style6"/>
        <w:keepNext w:val="0"/>
        <w:keepLines w:val="0"/>
        <w:widowControl w:val="0"/>
        <w:shd w:val="clear" w:color="auto" w:fill="auto"/>
        <w:bidi w:val="0"/>
        <w:spacing w:before="0" w:after="0" w:line="269" w:lineRule="auto"/>
        <w:ind w:left="0" w:right="0" w:firstLine="740"/>
        <w:jc w:val="both"/>
        <w:rPr>
          <w:sz w:val="24"/>
          <w:szCs w:val="24"/>
        </w:rPr>
        <w:sectPr>
          <w:footnotePr>
            <w:pos w:val="pageBottom"/>
            <w:numFmt w:val="decimal"/>
            <w:numRestart w:val="continuous"/>
          </w:footnotePr>
          <w:pgSz w:w="11900" w:h="16840"/>
          <w:pgMar w:top="1162" w:right="542" w:bottom="677" w:left="1105" w:header="0" w:footer="249" w:gutter="0"/>
          <w:cols w:space="720"/>
          <w:noEndnote/>
          <w:rtlGutter w:val="0"/>
          <w:docGrid w:linePitch="360"/>
        </w:sectPr>
      </w:pPr>
      <w:r>
        <w:rPr>
          <w:rStyle w:val="CharStyle7"/>
        </w:rPr>
        <w:t xml:space="preserve">При этом, как установлено ранее, Заказчиком, в том числе установлено требование к содержанию, составу заявки на участие в электронном аукционе о предоставлении копии действующего свидетельства о государственной регистрации, выданного Федеральной службой по надзору в сфере защиты прав </w:t>
      </w:r>
      <w:r>
        <w:rPr>
          <w:rStyle w:val="CharStyle7"/>
          <w:sz w:val="24"/>
          <w:szCs w:val="24"/>
          <w:lang w:val="en-US" w:eastAsia="en-US"/>
        </w:rPr>
        <w:t>2025-40181</w:t>
      </w:r>
    </w:p>
    <w:p>
      <w:pPr>
        <w:pStyle w:val="Style6"/>
        <w:keepNext w:val="0"/>
        <w:keepLines w:val="0"/>
        <w:widowControl w:val="0"/>
        <w:shd w:val="clear" w:color="auto" w:fill="auto"/>
        <w:bidi w:val="0"/>
        <w:spacing w:before="0" w:after="0" w:line="240" w:lineRule="auto"/>
        <w:ind w:left="0" w:right="0" w:firstLine="0"/>
        <w:jc w:val="both"/>
      </w:pPr>
      <w:r>
        <w:rPr>
          <w:rStyle w:val="CharStyle7"/>
        </w:rPr>
        <w:t>потребителей и благополучия человека МЗ РФ (Роспотребнадзор).</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Управления обращает внимание, что согласно письму Управления Роспотребнадзора по г. Москве от </w:t>
      </w:r>
      <w:r>
        <w:rPr>
          <w:rStyle w:val="CharStyle7"/>
          <w:lang w:val="en-US" w:eastAsia="en-US"/>
        </w:rPr>
        <w:t xml:space="preserve">25.03.2025 № </w:t>
      </w:r>
      <w:r>
        <w:rPr>
          <w:rStyle w:val="CharStyle7"/>
        </w:rPr>
        <w:t xml:space="preserve">77-00-34/п-23580-2025 коврики дезинфекционные не включены в Единый перечень продукции (товаров), подлежащей санитарно-эпидемиологическому надзору (контролю) на таможенной границе и таможенной территории Евразийского экономического союза, утвержденный решением Комиссии Таможенного союза от </w:t>
      </w:r>
      <w:r>
        <w:rPr>
          <w:rStyle w:val="CharStyle7"/>
          <w:lang w:val="en-US" w:eastAsia="en-US"/>
        </w:rPr>
        <w:t xml:space="preserve">28.05.2010 № 299, </w:t>
      </w:r>
      <w:r>
        <w:rPr>
          <w:rStyle w:val="CharStyle7"/>
        </w:rPr>
        <w:t>в связи с чем такой товар не подлежит государственной регистрации.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Кроме того, в случае предоставления ковриков дезинфекционных отдельно от основного медицинского изделия, на них не распространяются нормы, установленные законодательством Российской Федерации об обращении медицинских изделий, ввиду чего указанный товар не проходит государственную регистрацию медицинских изделий.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Учитывая изложенное, установление Заказчиком в извещении об осуществлении закупки на поставку ковриков дезинфекционных требования о предоставлении в составе заявок копии свидетельства о государственной регистрации товара, и, как следствие, отклонение заявок по причине отсутствия указанного документа в составе таких заявок, противоречит положениям законодательства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Комиссия Управления приходит к выводу о том, что Заказчиком в нарушение п.3 ч.2 ст.42 Закона о контрактной системе неправомерно установлено требование о предоставлении в составе заявки на участие в аукционе копии действующего свидетельства о государственной регистрации, что содержит признаки состава административного правонарушения, ответственность за которое предусмотрена ч. </w:t>
      </w:r>
      <w:r>
        <w:rPr>
          <w:rStyle w:val="CharStyle7"/>
          <w:lang w:val="en-US" w:eastAsia="en-US"/>
        </w:rPr>
        <w:t xml:space="preserve">5 </w:t>
      </w:r>
      <w:r>
        <w:rPr>
          <w:rStyle w:val="CharStyle7"/>
        </w:rPr>
        <w:t xml:space="preserve">ст. </w:t>
      </w:r>
      <w:r>
        <w:rPr>
          <w:rStyle w:val="CharStyle7"/>
          <w:lang w:val="en-US" w:eastAsia="en-US"/>
        </w:rPr>
        <w:t xml:space="preserve">7.30.1 </w:t>
      </w:r>
      <w:r>
        <w:rPr>
          <w:rStyle w:val="CharStyle7"/>
        </w:rPr>
        <w:t>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162" w:right="546" w:bottom="1162" w:left="1106"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 Е Ш И Л А:</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Признать жалобу ИП Шамин И.П. на действия комиссии ГБУЗ «ГКБ им. В.П. Демихова ДЗМ» необоснованной.</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Признать в действиях Заказчика нарушения п.3 ч.2 ст.42 Закона о контрактной системе.</w:t>
      </w:r>
    </w:p>
    <w:p>
      <w:pPr>
        <w:pStyle w:val="Style6"/>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5"/>
        </w:numPr>
        <w:shd w:val="clear" w:color="auto" w:fill="auto"/>
        <w:tabs>
          <w:tab w:pos="1416" w:val="left"/>
        </w:tabs>
        <w:bidi w:val="0"/>
        <w:spacing w:before="0" w:after="280" w:line="240"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307" w:left="1106" w:header="0" w:footer="3" w:gutter="0"/>
          <w:cols w:space="720"/>
          <w:noEndnote/>
          <w:rtlGutter w:val="0"/>
          <w:docGrid w:linePitch="360"/>
        </w:sectPr>
      </w:pPr>
      <w:r>
        <mc:AlternateContent>
          <mc:Choice Requires="wps">
            <w:drawing>
              <wp:anchor distT="127000" distB="340995" distL="0" distR="0" simplePos="0" relativeHeight="125829382" behindDoc="0" locked="0" layoutInCell="1" allowOverlap="1">
                <wp:simplePos x="0" y="0"/>
                <wp:positionH relativeFrom="page">
                  <wp:posOffset>739140</wp:posOffset>
                </wp:positionH>
                <wp:positionV relativeFrom="paragraph">
                  <wp:posOffset>127000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10.pt;width:145.20000000000002pt;height:19.699999999999999pt;z-index:-125829371;mso-wrap-distance-left:0;mso-wrap-distance-top:10.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63830" distB="0" distL="0" distR="1786255" simplePos="0" relativeHeight="125829384" behindDoc="0" locked="0" layoutInCell="1" allowOverlap="1">
            <wp:simplePos x="0" y="0"/>
            <wp:positionH relativeFrom="page">
              <wp:posOffset>3074035</wp:posOffset>
            </wp:positionH>
            <wp:positionV relativeFrom="paragraph">
              <wp:posOffset>163830</wp:posOffset>
            </wp:positionV>
            <wp:extent cx="389890" cy="55499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602615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rFonts w:ascii="Arial" w:eastAsia="Arial" w:hAnsi="Arial" w:cs="Arial"/>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94999999999999pt;margin-top:47.450000000000003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rFonts w:ascii="Arial" w:eastAsia="Arial" w:hAnsi="Arial" w:cs="Arial"/>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285750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80000000000001pt;margin-top:22.5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0995" distL="0" distR="0" simplePos="0" relativeHeight="125829385" behindDoc="0" locked="0" layoutInCell="1" allowOverlap="1">
                <wp:simplePos x="0" y="0"/>
                <wp:positionH relativeFrom="page">
                  <wp:posOffset>5914390</wp:posOffset>
                </wp:positionH>
                <wp:positionV relativeFrom="paragraph">
                  <wp:posOffset>127000</wp:posOffset>
                </wp:positionV>
                <wp:extent cx="1304290" cy="250190"/>
                <wp:wrapTopAndBottom/>
                <wp:docPr id="27" name="Shape 27"/>
                <a:graphic xmlns:a="http://schemas.openxmlformats.org/drawingml/2006/main">
                  <a:graphicData uri="http://schemas.microsoft.com/office/word/2010/wordprocessingShape">
                    <wps:wsp>
                      <wps:cNvSpPr txBox="1"/>
                      <wps:spPr>
                        <a:xfrm>
                          <a:ext cx="13042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wps:txbx>
                      <wps:bodyPr wrap="none" lIns="0" tIns="0" rIns="0" bIns="0">
                        <a:noAutoFit/>
                      </wps:bodyPr>
                    </wps:wsp>
                  </a:graphicData>
                </a:graphic>
              </wp:anchor>
            </w:drawing>
          </mc:Choice>
          <mc:Fallback>
            <w:pict>
              <v:shape id="_x0000_s1053" type="#_x0000_t202" style="position:absolute;margin-left:465.69999999999999pt;margin-top:10.pt;width:102.7pt;height:19.699999999999999pt;z-index:-125829368;mso-wrap-distance-left:0;mso-wrap-distance-top:10.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Е.Д. Мартьянова</w:t>
                      </w:r>
                    </w:p>
                  </w:txbxContent>
                </v:textbox>
                <w10:wrap type="topAndBottom" anchorx="page"/>
              </v:shape>
            </w:pict>
          </mc:Fallback>
        </mc:AlternateConten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Мартьянова Елена Дмитриевна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009EC19D0AD083DC593EE489E44F6A415</w:t>
      </w:r>
      <w:r>
        <w:rPr>
          <w:rStyle w:val="CharStyle19"/>
          <w:lang w:val="en-US" w:eastAsia="en-US"/>
        </w:rPr>
        <w:t>7</w:t>
      </w:r>
    </w:p>
    <w:p>
      <w:pPr>
        <w:pStyle w:val="Style18"/>
        <w:keepNext w:val="0"/>
        <w:keepLines w:val="0"/>
        <w:widowControl w:val="0"/>
        <w:shd w:val="clear" w:color="auto" w:fill="auto"/>
        <w:bidi w:val="0"/>
        <w:spacing w:before="0" w:after="260" w:line="240" w:lineRule="auto"/>
        <w:ind w:right="0" w:firstLine="0"/>
        <w:jc w:val="left"/>
      </w:pPr>
      <w:r>
        <w:rPr>
          <w:rStyle w:val="CharStyle19"/>
        </w:rPr>
        <w:t xml:space="preserve">Действителен с </w:t>
      </w:r>
      <w:r>
        <w:rPr>
          <w:rStyle w:val="CharStyle19"/>
          <w:color w:val="585858"/>
        </w:rPr>
        <w:t>21</w:t>
      </w:r>
      <w:r>
        <w:rPr>
          <w:rStyle w:val="CharStyle19"/>
        </w:rPr>
        <w:t>.01</w:t>
      </w:r>
      <w:r>
        <w:rPr>
          <w:rStyle w:val="CharStyle19"/>
          <w:color w:val="585858"/>
        </w:rPr>
        <w:t xml:space="preserve">.2025 по </w:t>
      </w:r>
      <w:r>
        <w:rPr>
          <w:rStyle w:val="CharStyle19"/>
        </w:rPr>
        <w:t>16.04.2026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660"/>
        <w:jc w:val="left"/>
      </w:pPr>
      <w:r>
        <w:drawing>
          <wp:anchor distT="0" distB="0" distL="114300" distR="1900555" simplePos="0" relativeHeight="125829387" behindDoc="0" locked="0" layoutInCell="1" allowOverlap="1">
            <wp:simplePos x="0" y="0"/>
            <wp:positionH relativeFrom="page">
              <wp:posOffset>3107055</wp:posOffset>
            </wp:positionH>
            <wp:positionV relativeFrom="paragraph">
              <wp:posOffset>50800</wp:posOffset>
            </wp:positionV>
            <wp:extent cx="359410" cy="53022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465455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rFonts w:ascii="Arial" w:eastAsia="Arial" w:hAnsi="Arial" w:cs="Arial"/>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90000000000003pt;margin-top:36.649999999999999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rFonts w:ascii="Arial" w:eastAsia="Arial" w:hAnsi="Arial" w:cs="Arial"/>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А.И. Рахматуллаев</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Рахматуллаев Алексей Ильич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7AEE97A08C8432425F146F6255A521C3</w:t>
      </w:r>
    </w:p>
    <w:p>
      <w:pPr>
        <w:pStyle w:val="Style18"/>
        <w:keepNext w:val="0"/>
        <w:keepLines w:val="0"/>
        <w:widowControl w:val="0"/>
        <w:shd w:val="clear" w:color="auto" w:fill="auto"/>
        <w:bidi w:val="0"/>
        <w:spacing w:before="0" w:after="260" w:line="240" w:lineRule="auto"/>
        <w:ind w:right="0" w:firstLine="0"/>
        <w:jc w:val="left"/>
      </w:pPr>
      <w:r>
        <w:rPr>
          <w:rStyle w:val="CharStyle19"/>
        </w:rPr>
        <w:t xml:space="preserve">Действителен с 12.11.2024 </w:t>
      </w:r>
      <w:r>
        <w:rPr>
          <w:rStyle w:val="CharStyle19"/>
          <w:color w:val="585858"/>
        </w:rPr>
        <w:t xml:space="preserve">по </w:t>
      </w:r>
      <w:r>
        <w:rPr>
          <w:rStyle w:val="CharStyle19"/>
        </w:rPr>
        <w:t>05.02.2026</w:t>
      </w:r>
    </w:p>
    <w:p>
      <w:pPr>
        <w:pStyle w:val="Style6"/>
        <w:keepNext w:val="0"/>
        <w:keepLines w:val="0"/>
        <w:widowControl w:val="0"/>
        <w:shd w:val="clear" w:color="auto" w:fill="auto"/>
        <w:bidi w:val="0"/>
        <w:spacing w:before="0" w:after="390" w:line="240" w:lineRule="auto"/>
        <w:ind w:left="0" w:right="0" w:firstLine="98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3527425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75pt;margin-top:11.95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pPr>
      <w:r>
        <w:rPr>
          <w:rStyle w:val="CharStyle19"/>
          <w:color w:val="FFFFFF"/>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Сорбучева Мария Васильевна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00F3B71218F970424B4D41C7997434F304</w:t>
      </w:r>
    </w:p>
    <w:p>
      <w:pPr>
        <w:pStyle w:val="Style18"/>
        <w:keepNext w:val="0"/>
        <w:keepLines w:val="0"/>
        <w:widowControl w:val="0"/>
        <w:shd w:val="clear" w:color="auto" w:fill="auto"/>
        <w:bidi w:val="0"/>
        <w:spacing w:before="0" w:after="3300" w:line="240" w:lineRule="auto"/>
        <w:ind w:right="0" w:firstLine="0"/>
        <w:jc w:val="left"/>
      </w:pPr>
      <w:r>
        <w:rPr>
          <w:rStyle w:val="CharStyle19"/>
        </w:rPr>
        <w:t xml:space="preserve">Действителен с 19.09.2024 </w:t>
      </w:r>
      <w:r>
        <w:rPr>
          <w:rStyle w:val="CharStyle19"/>
          <w:color w:val="585858"/>
        </w:rPr>
        <w:t>по 13.12.2025</w:t>
      </w:r>
    </w:p>
    <w:p>
      <w:pPr>
        <w:pStyle w:val="Style24"/>
        <w:keepNext w:val="0"/>
        <w:keepLines w:val="0"/>
        <w:widowControl w:val="0"/>
        <w:shd w:val="clear" w:color="auto" w:fill="auto"/>
        <w:bidi w:val="0"/>
        <w:spacing w:before="0" w:line="240" w:lineRule="auto"/>
        <w:ind w:left="0" w:right="0" w:firstLine="0"/>
        <w:jc w:val="left"/>
      </w:pPr>
      <w:r>
        <w:rPr>
          <w:rStyle w:val="CharStyle25"/>
        </w:rPr>
        <w:t>Исп.Мартьянова Е.Д. тел.(495) 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10165080</wp:posOffset>
              </wp:positionV>
              <wp:extent cx="719455" cy="103505"/>
              <wp:wrapNone/>
              <wp:docPr id="9" name="Shape 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2025-40181</w:t>
                          </w:r>
                        </w:p>
                      </w:txbxContent>
                    </wps:txbx>
                    <wps:bodyPr wrap="none" lIns="0" tIns="0" rIns="0" bIns="0">
                      <a:spAutoFit/>
                    </wps:bodyPr>
                  </wps:wsp>
                </a:graphicData>
              </a:graphic>
            </wp:anchor>
          </w:drawing>
        </mc:Choice>
        <mc:Fallback>
          <w:pict>
            <v:shape id="_x0000_s1035" type="#_x0000_t202" style="position:absolute;margin-left:57.200000000000003pt;margin-top:800.39999999999998pt;width:56.64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718820</wp:posOffset>
              </wp:positionH>
              <wp:positionV relativeFrom="page">
                <wp:posOffset>10231120</wp:posOffset>
              </wp:positionV>
              <wp:extent cx="731520" cy="103505"/>
              <wp:wrapNone/>
              <wp:docPr id="11" name="Shape 11"/>
              <a:graphic xmlns:a="http://schemas.openxmlformats.org/drawingml/2006/main">
                <a:graphicData uri="http://schemas.microsoft.com/office/word/2010/wordprocessingShape">
                  <wps:wsp>
                    <wps:cNvSpPr txBox="1"/>
                    <wps:spPr>
                      <a:xfrm>
                        <a:ext cx="73152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2025-40181</w:t>
                          </w:r>
                        </w:p>
                      </w:txbxContent>
                    </wps:txbx>
                    <wps:bodyPr wrap="none" lIns="0" tIns="0" rIns="0" bIns="0">
                      <a:spAutoFit/>
                    </wps:bodyPr>
                  </wps:wsp>
                </a:graphicData>
              </a:graphic>
            </wp:anchor>
          </w:drawing>
        </mc:Choice>
        <mc:Fallback>
          <w:pict>
            <v:shape id="_x0000_s1037" type="#_x0000_t202" style="position:absolute;margin-left:56.600000000000001pt;margin-top:805.60000000000002pt;width:57.60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2025-40181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10165080</wp:posOffset>
              </wp:positionV>
              <wp:extent cx="719455" cy="103505"/>
              <wp:wrapNone/>
              <wp:docPr id="17" name="Shape 1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2025-40181</w:t>
                          </w:r>
                        </w:p>
                      </w:txbxContent>
                    </wps:txbx>
                    <wps:bodyPr wrap="none" lIns="0" tIns="0" rIns="0" bIns="0">
                      <a:spAutoFit/>
                    </wps:bodyPr>
                  </wps:wsp>
                </a:graphicData>
              </a:graphic>
            </wp:anchor>
          </w:drawing>
        </mc:Choice>
        <mc:Fallback>
          <w:pict>
            <v:shape id="_x0000_s1043" type="#_x0000_t202" style="position:absolute;margin-left:57.200000000000003pt;margin-top:800.39999999999998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2025-40181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3921125</wp:posOffset>
              </wp:positionH>
              <wp:positionV relativeFrom="page">
                <wp:posOffset>509270</wp:posOffset>
              </wp:positionV>
              <wp:extent cx="67310" cy="69850"/>
              <wp:wrapNone/>
              <wp:docPr id="7" name="Shape 7"/>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8.75pt;margin-top:40.100000000000001pt;width:5.2999999999999998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3926840</wp:posOffset>
              </wp:positionH>
              <wp:positionV relativeFrom="page">
                <wp:posOffset>389890</wp:posOffset>
              </wp:positionV>
              <wp:extent cx="73025" cy="103505"/>
              <wp:wrapNone/>
              <wp:docPr id="13" name="Shape 13"/>
              <a:graphic xmlns:a="http://schemas.openxmlformats.org/drawingml/2006/main">
                <a:graphicData uri="http://schemas.microsoft.com/office/word/2010/wordprocessingShape">
                  <wps:wsp>
                    <wps:cNvSpPr txBox="1"/>
                    <wps:spPr>
                      <a:xfrm>
                        <a:ext cx="7302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0.699999999999999pt;width:5.75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3921125</wp:posOffset>
              </wp:positionH>
              <wp:positionV relativeFrom="page">
                <wp:posOffset>509270</wp:posOffset>
              </wp:positionV>
              <wp:extent cx="67310" cy="69850"/>
              <wp:wrapNone/>
              <wp:docPr id="15" name="Shape 15"/>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8.75pt;margin-top:40.100000000000001pt;width:5.2999999999999998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3"/>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3F3F3F"/>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3F3F3F"/>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