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9"/>
          <w:sz w:val="20"/>
          <w:szCs w:val="20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9"/>
          <w:sz w:val="20"/>
          <w:szCs w:val="20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Государственное бюджетное учреждение здравоохранения Республики Башкортостан Городская клиническая больница № 8 города Уфа 450112, г. Уфа, ул. 40 лет Октября, д. 1 </w:t>
      </w:r>
      <w:r>
        <w:fldChar w:fldCharType="begin"/>
      </w:r>
      <w:r>
        <w:rPr/>
        <w:instrText> HYPERLINK "mailto:ufa.gkb8@doctorrb.ru" </w:instrText>
      </w:r>
      <w:r>
        <w:fldChar w:fldCharType="separate"/>
      </w:r>
      <w:r>
        <w:rPr>
          <w:rStyle w:val="CharStyle12"/>
          <w:lang w:val="en-US" w:eastAsia="en-US"/>
        </w:rPr>
        <w:t>ufa.gkb8@doctorrb.ru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fldChar w:fldCharType="begin"/>
      </w:r>
      <w:r>
        <w:rPr/>
        <w:instrText> HYPERLINK "mailto:tender-gkb8@mail.ru" </w:instrText>
      </w:r>
      <w:r>
        <w:fldChar w:fldCharType="separate"/>
      </w:r>
      <w:r>
        <w:rPr>
          <w:rStyle w:val="CharStyle12"/>
          <w:lang w:val="en-US" w:eastAsia="en-US"/>
        </w:rPr>
        <w:t>tender- gkb8@mail.ru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771" w:bottom="1313" w:left="1135" w:header="0" w:footer="3" w:gutter="0"/>
          <w:pgNumType w:start="1"/>
          <w:cols w:num="2" w:space="720" w:equalWidth="0">
            <w:col w:w="4066" w:space="1205"/>
            <w:col w:w="4723"/>
          </w:cols>
          <w:noEndnote/>
          <w:rtlGutter w:val="0"/>
          <w:docGrid w:linePitch="360"/>
        </w:sectPr>
      </w:pPr>
      <w:r>
        <w:rPr>
          <w:rStyle w:val="CharStyle12"/>
        </w:rPr>
        <w:t xml:space="preserve">ОБЩЕСТВО С ОГРАНИЧЕННОЙ ОТВЕТСТВЕННОСТЬЮ "АБРИС" </w:t>
      </w:r>
      <w:r>
        <w:fldChar w:fldCharType="begin"/>
      </w:r>
      <w:r>
        <w:rPr/>
        <w:instrText> HYPERLINK "mailto:sp-abris@yandex.ru" </w:instrText>
      </w:r>
      <w:r>
        <w:fldChar w:fldCharType="separate"/>
      </w:r>
      <w:r>
        <w:rPr>
          <w:rStyle w:val="CharStyle12"/>
          <w:lang w:val="en-US" w:eastAsia="en-US"/>
        </w:rPr>
        <w:t>sp-abris@yandex.ru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</w:pPr>
      <w:r>
        <w:rPr>
          <w:rStyle w:val="CharStyle14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 № ТО002/06/106-1451/2025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094" w:val="left"/>
        </w:tabs>
        <w:bidi w:val="0"/>
        <w:spacing w:before="0" w:after="320"/>
        <w:ind w:left="0" w:right="0" w:firstLine="0"/>
        <w:jc w:val="left"/>
      </w:pPr>
      <w:r>
        <w:rPr>
          <w:rStyle w:val="CharStyle12"/>
        </w:rPr>
        <w:t>«02» сентября 2025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главный специалист-эксперт отдела контроля закупок – Агзамова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специалист-эксперт отдела контроля закупок – Шарифуллин Т.А.;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b/>
          <w:bCs/>
        </w:rPr>
        <w:t>Заказчик</w:t>
      </w:r>
      <w:r>
        <w:rPr>
          <w:rStyle w:val="CharStyle12"/>
        </w:rPr>
        <w:t>: Государственное бюджетное учреждение здравоохранения Республики Башкортостан Городская клиническая больница № 8 города Уфа Республики Башкортостан;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both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Общество с ограниченной ответственностью «Абрис»;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both"/>
      </w:pPr>
      <w:r>
        <w:rPr>
          <w:rStyle w:val="CharStyle12"/>
        </w:rPr>
        <w:t>В адрес Управления Федеральной антимонопольной службы по Республике Башкортостан поступила жалоба от Общество с ограниченной ответственностью «Абрис» (вх. 12478/25 от 27.</w:t>
      </w:r>
      <w:r>
        <w:rPr>
          <w:rStyle w:val="CharStyle12"/>
          <w:sz w:val="24"/>
          <w:szCs w:val="24"/>
        </w:rPr>
        <w:t>0</w:t>
      </w:r>
      <w:r>
        <w:rPr>
          <w:rStyle w:val="CharStyle12"/>
        </w:rPr>
        <w:t>8</w:t>
      </w:r>
      <w:r>
        <w:rPr>
          <w:rStyle w:val="CharStyle12"/>
          <w:sz w:val="24"/>
          <w:szCs w:val="24"/>
        </w:rPr>
        <w:t>.2</w:t>
      </w:r>
      <w:r>
        <w:rPr>
          <w:rStyle w:val="CharStyle12"/>
        </w:rPr>
        <w:t>025) на действия комиссии при определении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1" w:bottom="1313" w:left="1111" w:header="0" w:footer="3" w:gutter="0"/>
          <w:cols w:space="720"/>
          <w:noEndnote/>
          <w:rtlGutter w:val="0"/>
          <w:docGrid w:linePitch="360"/>
        </w:sectPr>
      </w:pPr>
      <w:r>
        <w:drawing>
          <wp:anchor distT="165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165100</wp:posOffset>
            </wp:positionV>
            <wp:extent cx="1517650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поставщика путем проведения закупки </w:t>
      </w:r>
      <w:r>
        <w:rPr>
          <w:rStyle w:val="CharStyle12"/>
          <w:lang w:val="en-US" w:eastAsia="en-US"/>
        </w:rPr>
        <w:t xml:space="preserve">№ 0301300106025000323 </w:t>
      </w:r>
      <w:r>
        <w:rPr>
          <w:rStyle w:val="CharStyle12"/>
        </w:rPr>
        <w:t>«Закупка лампы щелевой офтальмологической».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По мнению Заявителя, нарушен Федеральный закон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 а именно жалоба на действия (бездействие) заказчика, контрактной службы, контрактного управляющего, в части установленных положений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Жалоба подана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Информация о поступлении жалобы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размещена в единой информационной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закупке </w:t>
      </w:r>
      <w:r>
        <w:rPr>
          <w:rStyle w:val="CharStyle12"/>
          <w:lang w:val="en-US" w:eastAsia="en-US"/>
        </w:rPr>
        <w:t xml:space="preserve">№ 0301300106025000323 </w:t>
      </w:r>
      <w:r>
        <w:rPr>
          <w:rStyle w:val="CharStyle12"/>
        </w:rPr>
        <w:t>«Закупка лампы щелевой офтальмологической».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Комиссия Башкортостанского УФАС России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Комиссия), изучив и рассмотрев представленные материалы дела,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21.08.2025г. размещен электронный аукцион на предмет закупки «Закупка лампы щелевой офтальмологической».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— 996 000,00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Заказчиком установлен код ОКПД2 </w:t>
      </w:r>
      <w:r>
        <w:rPr>
          <w:rStyle w:val="CharStyle12"/>
          <w:lang w:val="en-US" w:eastAsia="en-US"/>
        </w:rPr>
        <w:t xml:space="preserve">— 26.60.12.119 </w:t>
      </w:r>
      <w:r>
        <w:rPr>
          <w:rStyle w:val="CharStyle12"/>
        </w:rPr>
        <w:t xml:space="preserve">«Лампа щелевая офтальмологическая </w:t>
      </w:r>
      <w:r>
        <w:rPr>
          <w:rStyle w:val="CharStyle12"/>
          <w:lang w:val="en-US" w:eastAsia="en-US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Согласно жалобе заявителя, описание объекта закупки составлено с нарушением требований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"Заказчик описывает объект закупки не на основе Каталога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2"/>
        </w:rPr>
        <w:t>Свои действия Заказчик объясняет следующим образом: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982" w:val="left"/>
          <w:tab w:pos="8234" w:val="left"/>
        </w:tabs>
        <w:bidi w:val="0"/>
        <w:spacing w:before="0" w:after="0" w:line="257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«* </w:t>
      </w:r>
      <w:r>
        <w:rPr>
          <w:rStyle w:val="CharStyle12"/>
          <w:i/>
          <w:iCs/>
        </w:rPr>
        <w:t xml:space="preserve">Изучив все предлагаемые позиции КТРУ на оборудование лампа щелевая </w:t>
      </w:r>
      <w:r>
        <w:rPr>
          <w:rStyle w:val="CharStyle12"/>
          <w:i/>
          <w:iCs/>
          <w:lang w:val="en-US" w:eastAsia="en-US"/>
        </w:rPr>
        <w:t>(26.60.12.119</w:t>
        <w:softHyphen/>
        <w:t>00000894,</w:t>
        <w:tab/>
        <w:t>26.60.12.119-00000709,26.60.12.119-00000708,</w:t>
        <w:tab/>
        <w:t>26.60.12.119-00000707,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696" w:val="left"/>
          <w:tab w:pos="6696" w:val="left"/>
          <w:tab w:pos="6697" w:val="left"/>
          <w:tab w:pos="8234" w:val="left"/>
        </w:tabs>
        <w:bidi w:val="0"/>
        <w:spacing w:before="0" w:after="0" w:line="257" w:lineRule="auto"/>
        <w:ind w:left="0" w:right="0" w:firstLine="0"/>
        <w:jc w:val="both"/>
      </w:pPr>
      <w:r>
        <w:rPr>
          <w:rStyle w:val="CharStyle12"/>
          <w:i/>
          <w:iCs/>
          <w:lang w:val="en-US" w:eastAsia="en-US"/>
        </w:rPr>
        <w:t>26.60.12.119-00000706,26.60.12.119-00000705,</w:t>
        <w:tab/>
        <w:t>26.60.12.119-00000704,26.60.12.119</w:t>
        <w:softHyphen/>
        <w:t>00000703,</w:t>
        <w:tab/>
        <w:t>26.60.12.119-00000702,</w:t>
        <w:tab/>
        <w:t>26.60.12.119-00000701,</w:t>
        <w:tab/>
        <w:t>26.60.12.119-00000700,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2"/>
          <w:i/>
          <w:iCs/>
          <w:lang w:val="en-US" w:eastAsia="en-US"/>
        </w:rPr>
        <w:t xml:space="preserve">26.60.12.119-00000699, 26.60.12.119-00000698, 26.60.12.119-00000710) </w:t>
      </w:r>
      <w:r>
        <w:rPr>
          <w:rStyle w:val="CharStyle12"/>
          <w:i/>
          <w:iCs/>
        </w:rPr>
        <w:t>Заказчик делает вывод, что ни одна из имеющихся позиций каталога товаров, работ и услуг не включает в себя необходимых Заказчику требований к конфигурации офтальмологического бинокулярного микроскопа, работающего от сети переменного тока, который используется для осмотра внутренних структур (передней и задней поверхностей) глаза посредством наблюдения через радужную оболочку.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i/>
          <w:iCs/>
        </w:rPr>
        <w:t xml:space="preserve">Необходимые заказчику характеристики в предложенных КТРУ отсутствуют, что не позволяет идентифицировать товар, и может привести к поставке товара не соответствующего потребностям заказчика для выполнения определенных функций и полномочий, и оказания некачественной медицинской помощи, а также к </w:t>
      </w:r>
      <w:r>
        <w:rPr>
          <w:rStyle w:val="CharStyle12"/>
          <w:sz w:val="24"/>
          <w:szCs w:val="24"/>
          <w:lang w:val="en-US" w:eastAsia="en-US"/>
        </w:rPr>
        <w:t>2025-9961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2"/>
          <w:i/>
          <w:iCs/>
        </w:rPr>
        <w:t xml:space="preserve">неэффективности осуществления закупки, что нарушает требования статьи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Федерального закона от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апреля </w:t>
      </w:r>
      <w:r>
        <w:rPr>
          <w:rStyle w:val="CharStyle12"/>
          <w:i/>
          <w:iCs/>
          <w:lang w:val="en-US" w:eastAsia="en-US"/>
        </w:rPr>
        <w:t xml:space="preserve">2013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44-ФЗ, в связи с чем описание объекта закупки осуществляется в соответствии с положениями статьи </w:t>
      </w:r>
      <w:r>
        <w:rPr>
          <w:rStyle w:val="CharStyle12"/>
          <w:i/>
          <w:iCs/>
          <w:lang w:val="en-US" w:eastAsia="en-US"/>
        </w:rPr>
        <w:t xml:space="preserve">33 </w:t>
      </w:r>
      <w:r>
        <w:rPr>
          <w:rStyle w:val="CharStyle12"/>
          <w:i/>
          <w:iCs/>
        </w:rPr>
        <w:t xml:space="preserve">Федерального закона от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апреля </w:t>
      </w:r>
      <w:r>
        <w:rPr>
          <w:rStyle w:val="CharStyle12"/>
          <w:i/>
          <w:iCs/>
          <w:lang w:val="en-US" w:eastAsia="en-US"/>
        </w:rPr>
        <w:t xml:space="preserve">2013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>44-ФЗ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60"/>
        <w:jc w:val="both"/>
      </w:pPr>
      <w:r>
        <w:rPr>
          <w:rStyle w:val="CharStyle12"/>
        </w:rPr>
        <w:t>Мы подали запрос на разъяснение положений документации, где просили описать объект закупки в соответствии с КТРУ. Заказчик ответил отказом. Считаем это нарушением законодательства о закупках.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60"/>
        <w:jc w:val="both"/>
      </w:pPr>
      <w:r>
        <w:rPr>
          <w:rStyle w:val="CharStyle12"/>
        </w:rPr>
        <w:t>Считаем, что характеристики ширины щели, поля зрения, набор фильтров присущи свои каждой щелевой лампе в рамках ее основной функциональности, а такие характеристики как «</w:t>
      </w:r>
      <w:r>
        <w:rPr>
          <w:rStyle w:val="CharStyle12"/>
          <w:i/>
          <w:iCs/>
        </w:rPr>
        <w:t xml:space="preserve">Регулировка яркости щели </w:t>
      </w:r>
      <w:r>
        <w:rPr>
          <w:rStyle w:val="CharStyle12"/>
          <w:i/>
          <w:iCs/>
          <w:lang w:val="en-US" w:eastAsia="en-US"/>
        </w:rPr>
        <w:t xml:space="preserve">– </w:t>
      </w:r>
      <w:r>
        <w:rPr>
          <w:rStyle w:val="CharStyle12"/>
          <w:i/>
          <w:iCs/>
        </w:rPr>
        <w:t>рукояткой на основании щелевой лампы, расположенной под правую руку врача», «Цвет корпуса фиксационной метки и ее кронштейна», «Регулировка угла отклонения луча щелевого освещения от фокуса микроскопа для проведения ретроиллюминационных исследований и усиления красного рефлекса</w:t>
      </w:r>
      <w:r>
        <w:rPr>
          <w:rStyle w:val="CharStyle12"/>
        </w:rPr>
        <w:t>», и особенно все характеристики стола приборного индивидуализируют этот прибор до одной модели".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статьёй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900"/>
        <w:jc w:val="both"/>
        <w:rPr>
          <w:sz w:val="24"/>
          <w:szCs w:val="24"/>
        </w:rPr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</w:t>
      </w:r>
      <w:r>
        <w:rPr>
          <w:rStyle w:val="CharStyle12"/>
          <w:lang w:val="en-US" w:eastAsia="en-US"/>
        </w:rPr>
        <w:t xml:space="preserve">08.02.2017 № 145 </w:t>
      </w:r>
      <w:r>
        <w:rPr>
          <w:rStyle w:val="CharStyle12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</w:t>
      </w:r>
      <w:r>
        <w:rPr>
          <w:rStyle w:val="CharStyle12"/>
          <w:sz w:val="24"/>
          <w:szCs w:val="24"/>
          <w:lang w:val="en-US" w:eastAsia="en-US"/>
        </w:rPr>
        <w:t>2025-9961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Постановление Правительства РФ </w:t>
      </w:r>
      <w:r>
        <w:rPr>
          <w:rStyle w:val="CharStyle12"/>
          <w:lang w:val="en-US" w:eastAsia="en-US"/>
        </w:rPr>
        <w:t xml:space="preserve">№ 145) </w:t>
      </w:r>
      <w:r>
        <w:rPr>
          <w:rStyle w:val="CharStyle12"/>
        </w:rPr>
        <w:t xml:space="preserve">предусмотрено,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«г» и «е»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«з» пункта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</w:t>
      </w:r>
      <w:r>
        <w:rPr>
          <w:rStyle w:val="CharStyle12"/>
          <w:lang w:val="en-US" w:eastAsia="en-US"/>
        </w:rPr>
        <w:t xml:space="preserve">№ 145, </w:t>
      </w:r>
      <w:r>
        <w:rPr>
          <w:rStyle w:val="CharStyle12"/>
        </w:rPr>
        <w:t>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1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2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6" w:val="left"/>
        </w:tabs>
        <w:bidi w:val="0"/>
        <w:spacing w:before="0" w:after="0"/>
        <w:ind w:left="860" w:right="0" w:firstLine="0"/>
        <w:jc w:val="both"/>
      </w:pPr>
      <w:r>
        <w:rPr>
          <w:rStyle w:val="CharStyle12"/>
        </w:rPr>
        <w:t xml:space="preserve">описание товара, работы, услуги (при наличии такого описания в позиции).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Правил использования каталога товаров, работ, услуг для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обеспечения государственных и муниципальных нужд предусмотрено,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Федерального закона, которые не предусмотрены в позиции каталога, за исключением случаев: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02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2"/>
          <w:lang w:val="en-US" w:eastAsia="en-US"/>
        </w:rPr>
        <w:t xml:space="preserve">25, 26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Постановление Правительства РФ </w:t>
      </w:r>
      <w:r>
        <w:rPr>
          <w:rStyle w:val="CharStyle12"/>
          <w:lang w:val="en-US" w:eastAsia="en-US"/>
        </w:rPr>
        <w:t xml:space="preserve">№ 1875),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191 - 361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указанному постановлению, применяются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указанного постановления запрет, ограничение соответственно;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02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860"/>
        <w:jc w:val="both"/>
        <w:rPr>
          <w:sz w:val="24"/>
          <w:szCs w:val="24"/>
        </w:r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06" w:right="234" w:bottom="567" w:left="597" w:header="678" w:footer="13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Правил использования каталога товаров, работ, услуг для обеспечения государственных и муниципальных нужд предусмотрено,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Федерального закона. При проведении предусмотренных Федеральным законом электронных процедур, закрытых электронных </w:t>
      </w:r>
      <w:r>
        <w:rPr>
          <w:rStyle w:val="CharStyle12"/>
          <w:sz w:val="24"/>
          <w:szCs w:val="24"/>
          <w:lang w:val="en-US" w:eastAsia="en-US"/>
        </w:rPr>
        <w:t>2025-9961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процедур характеристики объекта закупки,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75 </w:t>
      </w:r>
      <w:r>
        <w:rPr>
          <w:rStyle w:val="CharStyle12"/>
        </w:rPr>
        <w:t xml:space="preserve">Федерального закона соответственно.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2"/>
          <w:lang w:val="en-US" w:eastAsia="en-US"/>
        </w:rPr>
        <w:t xml:space="preserve">034-2014.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Правил использования каталога товаров, работ, услуг для обеспечения государственных и муниципальных нужд предусмотрено,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</w:t>
      </w:r>
      <w:r>
        <w:rPr>
          <w:rStyle w:val="CharStyle12"/>
          <w:lang w:val="en-US" w:eastAsia="en-US"/>
        </w:rPr>
        <w:t>034-2014.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Во исполнение требований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принято Постановление Правительства РФ </w:t>
      </w:r>
      <w:r>
        <w:rPr>
          <w:rStyle w:val="CharStyle12"/>
          <w:lang w:val="en-US" w:eastAsia="en-US"/>
        </w:rPr>
        <w:t xml:space="preserve">№ 1875, </w:t>
      </w:r>
      <w:r>
        <w:rPr>
          <w:rStyle w:val="CharStyle12"/>
        </w:rPr>
        <w:t xml:space="preserve">из которого следует, что товары (работы, услуги), подпадающие под действие запрета перечислены в приложении </w:t>
      </w:r>
      <w:r>
        <w:rPr>
          <w:rStyle w:val="CharStyle12"/>
          <w:lang w:val="en-US" w:eastAsia="en-US"/>
        </w:rPr>
        <w:t xml:space="preserve">№ 1, </w:t>
      </w:r>
      <w:r>
        <w:rPr>
          <w:rStyle w:val="CharStyle12"/>
        </w:rPr>
        <w:t xml:space="preserve">а под действие ограничения в приложении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указанному Постановлению Правительства РФ Если закупаемые товары, работы, услуги (в том числе, закупаемые для целей реализации национальных проектов) не попадают под ограничения, установленные подпунктами «а» и «б» пункта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Правил использования каталога товаров, работ, услуг для обеспечения государственных и муниципальных нужд, то заказчик правомочен включать в описание объекта закупки дополнительную информацию с обоснованием необходимости ее включения.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Однако, при закупке товара, который включен в позиции </w:t>
      </w:r>
      <w:r>
        <w:rPr>
          <w:rStyle w:val="CharStyle12"/>
          <w:lang w:val="en-US" w:eastAsia="en-US"/>
        </w:rPr>
        <w:t xml:space="preserve">191 - 361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Правительства РФ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>заказчик не вправе в описании объекта закупки устанавливать дополнительную информацию, а также дополнительные потребительские свойства товара помимо тех, которые установлены в соответствующей позиции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Согласно извещению об осуществлении закупки, заказчиком объект закупки отнесен к коду ОКПД2: </w:t>
      </w:r>
      <w:r>
        <w:rPr>
          <w:rStyle w:val="CharStyle12"/>
          <w:lang w:val="en-US" w:eastAsia="en-US"/>
        </w:rPr>
        <w:t xml:space="preserve">26.60.12.119 </w:t>
      </w:r>
      <w:r>
        <w:rPr>
          <w:rStyle w:val="CharStyle12"/>
        </w:rPr>
        <w:t>«Лампа щелевая офтальмологическая".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860"/>
        <w:jc w:val="both"/>
      </w:pPr>
      <w:r>
        <w:rPr>
          <w:rStyle w:val="CharStyle12"/>
        </w:rPr>
        <w:t xml:space="preserve">Позицией </w:t>
      </w:r>
      <w:r>
        <w:rPr>
          <w:rStyle w:val="CharStyle12"/>
          <w:lang w:val="en-US" w:eastAsia="en-US"/>
        </w:rPr>
        <w:t xml:space="preserve">386 </w:t>
      </w:r>
      <w:r>
        <w:rPr>
          <w:rStyle w:val="CharStyle12"/>
        </w:rPr>
        <w:t xml:space="preserve">Перечня товаров (в том числе,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 (приложение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Правительства РФ </w:t>
      </w:r>
      <w:r>
        <w:rPr>
          <w:rStyle w:val="CharStyle12"/>
          <w:lang w:val="en-US" w:eastAsia="en-US"/>
        </w:rPr>
        <w:t xml:space="preserve">№ 1875) </w:t>
      </w:r>
      <w:r>
        <w:rPr>
          <w:rStyle w:val="CharStyle12"/>
        </w:rPr>
        <w:t xml:space="preserve">предусмотрен код ОКПД2: </w:t>
      </w:r>
      <w:r>
        <w:rPr>
          <w:rStyle w:val="CharStyle12"/>
          <w:lang w:val="en-US" w:eastAsia="en-US"/>
        </w:rPr>
        <w:t xml:space="preserve">26.60.12.119 </w:t>
      </w:r>
      <w:r>
        <w:rPr>
          <w:rStyle w:val="CharStyle12"/>
        </w:rPr>
        <w:t>«Лампа щелевая офтальмологическая".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914" w:val="left"/>
        </w:tabs>
        <w:bidi w:val="0"/>
        <w:spacing w:before="0" w:after="0" w:line="240" w:lineRule="auto"/>
        <w:ind w:left="0" w:right="0" w:firstLine="160"/>
        <w:jc w:val="both"/>
      </w:pPr>
      <w:r>
        <w:rPr>
          <w:rStyle w:val="CharStyle14"/>
          <w:lang w:val="en-US" w:eastAsia="en-US"/>
        </w:rPr>
        <w:t xml:space="preserve">386. </w:t>
      </w:r>
      <w:r>
        <w:rPr>
          <w:rStyle w:val="CharStyle14"/>
        </w:rPr>
        <w:t>Лампы щелевые; микрохирургические</w:t>
      </w:r>
      <w:r>
        <w:fldChar w:fldCharType="begin"/>
      </w:r>
      <w:r>
        <w:rPr/>
        <w:instrText> HYPERLINK "https://login.consultant.ru/link/?req=doc&amp;base=LAW&amp;n=506872&amp;dst=120063&amp;field=134&amp;date=07.09.2025" </w:instrText>
      </w:r>
      <w:r>
        <w:fldChar w:fldCharType="separate"/>
      </w:r>
      <w:r>
        <w:rPr>
          <w:rStyle w:val="CharStyle14"/>
        </w:rPr>
        <w:tab/>
      </w:r>
      <w:r>
        <w:rPr>
          <w:rStyle w:val="CharStyle14"/>
          <w:color w:val="0000FF"/>
          <w:lang w:val="en-US" w:eastAsia="en-US"/>
        </w:rPr>
        <w:t>26.60.12.119</w:t>
      </w:r>
      <w:r>
        <w:fldChar w:fldCharType="end"/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920" w:right="0" w:firstLine="0"/>
        <w:jc w:val="both"/>
      </w:pPr>
      <w:r>
        <w:fldChar w:fldCharType="begin"/>
      </w:r>
      <w:r>
        <w:rPr/>
        <w:instrText> HYPERLINK "https://login.consultant.ru/link/?req=doc&amp;base=LAW&amp;n=506872&amp;dst=125817&amp;field=134&amp;date=07.09.2025" </w:instrText>
      </w:r>
      <w:r>
        <w:fldChar w:fldCharType="separate"/>
      </w:r>
      <w:r>
        <w:rPr>
          <w:rStyle w:val="CharStyle14"/>
          <w:color w:val="0000FF"/>
          <w:lang w:val="en-US" w:eastAsia="en-US"/>
        </w:rPr>
        <w:t>32.50.13.110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4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869950</wp:posOffset>
                </wp:positionH>
                <wp:positionV relativeFrom="paragraph">
                  <wp:posOffset>76200</wp:posOffset>
                </wp:positionV>
                <wp:extent cx="3264535" cy="399415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4535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инструменты для офтальмологии; набор пробных очковых линз офтальмологический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68.5pt;margin-top:6.pt;width:257.05000000000001pt;height:31.44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инструменты для офтальмологии; набор пробных очковых линз офтальмологический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lang w:val="en-US" w:eastAsia="en-US"/>
        </w:rPr>
        <w:t>32.50.13.120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40"/>
        <w:jc w:val="both"/>
      </w:pPr>
      <w:r>
        <w:fldChar w:fldCharType="begin"/>
      </w:r>
      <w:r>
        <w:rPr/>
        <w:instrText> HYPERLINK "https://login.consultant.ru/link/?req=doc&amp;base=LAW&amp;n=506872&amp;dst=857&amp;field=134&amp;date=07.09.2025" </w:instrText>
      </w:r>
      <w:r>
        <w:fldChar w:fldCharType="separate"/>
      </w:r>
      <w:r>
        <w:rPr>
          <w:rStyle w:val="CharStyle14"/>
          <w:color w:val="0000FF"/>
          <w:lang w:val="en-US" w:eastAsia="en-US"/>
        </w:rPr>
        <w:t>32.50.13.121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920" w:right="0" w:firstLine="0"/>
        <w:jc w:val="both"/>
      </w:pPr>
      <w:r>
        <w:fldChar w:fldCharType="begin"/>
      </w:r>
      <w:r>
        <w:rPr/>
        <w:instrText> HYPERLINK "https://login.consultant.ru/link/?req=doc&amp;base=LAW&amp;n=506872&amp;dst=865&amp;field=134&amp;date=07.09.2025" </w:instrText>
      </w:r>
      <w:r>
        <w:fldChar w:fldCharType="separate"/>
      </w:r>
      <w:r>
        <w:rPr>
          <w:rStyle w:val="CharStyle14"/>
          <w:color w:val="0000FF"/>
          <w:lang w:val="en-US" w:eastAsia="en-US"/>
        </w:rPr>
        <w:t>32.50.13.131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6920" w:right="0" w:firstLine="0"/>
        <w:jc w:val="both"/>
      </w:pPr>
      <w:r>
        <w:fldChar w:fldCharType="begin"/>
      </w:r>
      <w:r>
        <w:rPr/>
        <w:instrText> HYPERLINK "https://login.consultant.ru/link/?req=doc&amp;base=LAW&amp;n=506872&amp;dst=125821&amp;field=134&amp;date=07.09.2025" </w:instrText>
      </w:r>
      <w:r>
        <w:fldChar w:fldCharType="separate"/>
      </w:r>
      <w:r>
        <w:rPr>
          <w:rStyle w:val="CharStyle14"/>
          <w:color w:val="0000FF"/>
          <w:lang w:val="en-US" w:eastAsia="en-US"/>
        </w:rPr>
        <w:t>32.50.13.190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2"/>
        </w:rPr>
        <w:t>В пояснениях Заказчик указал: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В Каталоге товаров, работ, услуг для обеспечения государственных и муниципальных нужд отсутствуют позиции, содержащие необходимые для Заказчика характеристики, определяющие требования к важным для медицинского учреждения параметрам закупаемого медицинского изделия и его комплектности.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Объектом настоящей закупки является лампа щелевая офтальмологическая.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Параметр «регулировка яркости щели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рукояткой на основании щелевой лампы, расположенной под правую руку врача»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очень важен при проведении офтальмоскопии: когда левая рука врача занята линзой, а правая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джойстиком, тогда поменять яркость, не отвлекаясь от процесса работы, можно только в том случае, если у врача регулятор яркости находится прямо под рукой, т.е. на основании лампы, и при этом ещё и под правую руку. Если отвлечься, то, во-первых, яркость придётся подбирать методом последовательных приближений ("повернул регулятор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маловато, повернул ещё"), а во-вторых, придется заново как фокусировать лампу, так и подбирать положение линзы. Не говоря уже о том, что врач теряет ту зону сетчатки, где что-то нашел и хочется рассмотреть повнимательнее, из-за чего и появляется потребность в изменении уровня яркости.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Встроенный в микроскоп желтый (контрастный) фильтр (неотсоединяемый модуль с двухпозиционным вкл/выкл переключателем) необходим при диагностике состояния глазной поверхности, когда применяется флюоресцеин.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Поскольку позиция КТРУ к описанию объекта закупки заказчиком не применялась, описание объекта закупки осуществлялось в соответствии с общими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86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065" w:right="248" w:bottom="1136" w:left="616" w:header="637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ходе рассмотрения жалобы Заказчиком представлена сравнительная таблица: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п/п Код ОК ПД2 /КТРУ Наименование показателя Единица измерения показателя Значения показателей Конкретные показатели производителя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(Лампа щелевая офтальмологи ческая </w:t>
      </w:r>
      <w:r>
        <w:rPr>
          <w:rStyle w:val="CharStyle12"/>
          <w:lang w:val="en-US" w:eastAsia="en-US"/>
        </w:rPr>
        <w:t xml:space="preserve">HS </w:t>
      </w:r>
      <w:r>
        <w:rPr>
          <w:rStyle w:val="CharStyle12"/>
        </w:rPr>
        <w:t xml:space="preserve">с принадлежнос тями, вариант исполнения </w:t>
      </w:r>
      <w:r>
        <w:rPr>
          <w:rStyle w:val="CharStyle12"/>
          <w:lang w:val="en-US" w:eastAsia="en-US"/>
        </w:rPr>
        <w:t xml:space="preserve">HS-5500, </w:t>
      </w:r>
      <w:r>
        <w:rPr>
          <w:rStyle w:val="CharStyle12"/>
        </w:rPr>
        <w:t xml:space="preserve">"Хувитц Ко., Лтд", Корея Конкретные показатели производителя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(Лампа щелевая офтальмологическая </w:t>
      </w:r>
      <w:r>
        <w:rPr>
          <w:rStyle w:val="CharStyle12"/>
          <w:lang w:val="en-US" w:eastAsia="en-US"/>
        </w:rPr>
        <w:t>c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0"/>
        <w:jc w:val="both"/>
      </w:pPr>
      <w:r>
        <w:rPr>
          <w:rStyle w:val="CharStyle12"/>
        </w:rPr>
        <w:t xml:space="preserve">принадлежностям и в варианте исполнени я </w:t>
      </w:r>
      <w:r>
        <w:rPr>
          <w:rStyle w:val="CharStyle12"/>
          <w:lang w:val="en-US" w:eastAsia="en-US"/>
        </w:rPr>
        <w:t xml:space="preserve">Tomey TSL7000Z, </w:t>
      </w:r>
      <w:r>
        <w:rPr>
          <w:rStyle w:val="CharStyle12"/>
        </w:rPr>
        <w:t>"Килер Лтд.", Соединенное Королевство).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840"/>
        <w:jc w:val="both"/>
      </w:pPr>
      <w:r>
        <w:rPr>
          <w:rStyle w:val="CharStyle12"/>
        </w:rPr>
        <w:t xml:space="preserve">Статьёй </w:t>
      </w:r>
      <w:r>
        <w:rPr>
          <w:rStyle w:val="CharStyle12"/>
          <w:lang w:val="en-US" w:eastAsia="en-US"/>
        </w:rPr>
        <w:t xml:space="preserve">38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21.11.2011 № </w:t>
      </w:r>
      <w:r>
        <w:rPr>
          <w:rStyle w:val="CharStyle12"/>
        </w:rPr>
        <w:t xml:space="preserve">323-ФЗ «Об основах охраны здоровья граждан в Российской Федерации» предусмотрено, что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НКМИ). НКМИ утверждается уполномоченным федеральным органом исполнительной власти. Частью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38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21.11.2011 № </w:t>
      </w:r>
      <w:r>
        <w:rPr>
          <w:rStyle w:val="CharStyle12"/>
        </w:rPr>
        <w:t xml:space="preserve">323-ФЗ предусмотрено, что на территории Российской Федерации разрешается обращение медицинских изделий, зарегистрированных в порядке, установленном Правительством РФ, уполномоченным им федеральным органом исполнительной власти. 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Правил государственной регистрации медицинских изделий (утв. Постановлением Правительства РФ от </w:t>
      </w:r>
      <w:r>
        <w:rPr>
          <w:rStyle w:val="CharStyle12"/>
          <w:lang w:val="en-US" w:eastAsia="en-US"/>
        </w:rPr>
        <w:t xml:space="preserve">27.12.2012 № 1416), </w:t>
      </w:r>
      <w:r>
        <w:rPr>
          <w:rStyle w:val="CharStyle12"/>
        </w:rPr>
        <w:t xml:space="preserve">установлено, что государственная регистрация медицинских изделий осуществляется Федеральной службой по надзору в сфере здравоохранения. Согласно пункту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Правил государственной регистрации медицинских изделий (утв. Постановлением Правительства РФ от </w:t>
      </w:r>
      <w:r>
        <w:rPr>
          <w:rStyle w:val="CharStyle12"/>
          <w:lang w:val="en-US" w:eastAsia="en-US"/>
        </w:rPr>
        <w:t xml:space="preserve">27.12.2012 № 1416) </w:t>
      </w:r>
      <w:r>
        <w:rPr>
          <w:rStyle w:val="CharStyle12"/>
        </w:rPr>
        <w:t xml:space="preserve">документом, подтверждающим факт государственной регистрации медицинского изделия, является регистрационное удостоверение на медицинское изделие. Пунктом </w:t>
      </w:r>
      <w:r>
        <w:rPr>
          <w:rStyle w:val="CharStyle12"/>
          <w:lang w:val="en-US" w:eastAsia="en-US"/>
        </w:rPr>
        <w:t xml:space="preserve">3.1 </w:t>
      </w:r>
      <w:r>
        <w:rPr>
          <w:rStyle w:val="CharStyle12"/>
        </w:rPr>
        <w:t xml:space="preserve">ГОСТ </w:t>
      </w:r>
      <w:r>
        <w:rPr>
          <w:rStyle w:val="CharStyle12"/>
          <w:lang w:val="en-US" w:eastAsia="en-US"/>
        </w:rPr>
        <w:t xml:space="preserve">31508-2012 </w:t>
      </w:r>
      <w:r>
        <w:rPr>
          <w:rStyle w:val="CharStyle12"/>
        </w:rPr>
        <w:t xml:space="preserve">«Межгосударственный стандарт. Изделия медицинские. Классификация в зависимости от потенциального риска применения. Общие требования» (введен в действие приказом Росстандарта от </w:t>
      </w:r>
      <w:r>
        <w:rPr>
          <w:rStyle w:val="CharStyle12"/>
          <w:lang w:val="en-US" w:eastAsia="en-US"/>
        </w:rPr>
        <w:t xml:space="preserve">01.11.2012 № 609- </w:t>
      </w:r>
      <w:r>
        <w:rPr>
          <w:rStyle w:val="CharStyle12"/>
        </w:rPr>
        <w:t>ст) предусмотрено, что медицинские изделия (изделия медицинского назначения и медицинская техника): приборы, аппараты, инструменты, устройства, комплекты, комплексы, системы с программными средствами, оборудование, приспособления, перевязочные и шовные средства, стоматологические материалы, наборы реагентов, контрольные материалы и стандартные образцы, изделия из полимерных, резиновых и иных материалов, которые применяют в медицинских целях по отдельности или в сочетании между собой и которые предназначены для: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840"/>
        <w:jc w:val="both"/>
        <w:rPr>
          <w:sz w:val="24"/>
          <w:szCs w:val="24"/>
        </w:rPr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05" w:right="241" w:bottom="598" w:left="0" w:header="677" w:footer="170" w:gutter="0"/>
          <w:cols w:space="720"/>
          <w:noEndnote/>
          <w:rtlGutter w:val="0"/>
          <w:docGrid w:linePitch="360"/>
        </w:sectPr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профилактики, диагностики, лечения заболеваний, реабилитации, проведения медицинских процедур, исследований медицинского характера, замены или модификации частей тканей, органов и организма человека, восстановления или компенсации нарушенных или утраченных физиологических функций, контроля над зачатием;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воздействия на организм человека таким образом, что их функциональное назначение не реализуется путем химического, фармакологического, иммунологического или метаболического взаимодействия с организмом человека. Пунктом </w:t>
      </w:r>
      <w:r>
        <w:rPr>
          <w:rStyle w:val="CharStyle12"/>
          <w:lang w:val="en-US" w:eastAsia="en-US"/>
        </w:rPr>
        <w:t xml:space="preserve">3.2 </w:t>
      </w:r>
      <w:r>
        <w:rPr>
          <w:rStyle w:val="CharStyle12"/>
        </w:rPr>
        <w:t xml:space="preserve">ГОСТ </w:t>
      </w:r>
      <w:r>
        <w:rPr>
          <w:rStyle w:val="CharStyle12"/>
          <w:lang w:val="en-US" w:eastAsia="en-US"/>
        </w:rPr>
        <w:t xml:space="preserve">31508-2012 </w:t>
      </w:r>
      <w:r>
        <w:rPr>
          <w:rStyle w:val="CharStyle12"/>
        </w:rPr>
        <w:t xml:space="preserve">«Межгосударственный стандарт. Изделия медицинские. Классификация в зависимости от потенциального риска применения. </w:t>
      </w:r>
      <w:r>
        <w:rPr>
          <w:rStyle w:val="CharStyle12"/>
          <w:lang w:val="en-US" w:eastAsia="en-US"/>
        </w:rPr>
        <w:t xml:space="preserve">2025-3081 </w:t>
      </w:r>
      <w:r>
        <w:rPr>
          <w:rStyle w:val="CharStyle12"/>
        </w:rPr>
        <w:t xml:space="preserve">Общие требования» (введен в действие приказом Росстандарта от </w:t>
      </w:r>
      <w:r>
        <w:rPr>
          <w:rStyle w:val="CharStyle12"/>
          <w:lang w:val="en-US" w:eastAsia="en-US"/>
        </w:rPr>
        <w:t xml:space="preserve">01.11.2012 № 609- </w:t>
      </w:r>
      <w:r>
        <w:rPr>
          <w:rStyle w:val="CharStyle12"/>
        </w:rPr>
        <w:t xml:space="preserve">ст) предусмотрено, что принадлежности: предметы, самостоятельно не являющиеся медицинским изделием и по целевому назначению применяемые совместно с медицинским изделием либо в их составе для того, </w:t>
      </w:r>
      <w:r>
        <w:rPr>
          <w:rStyle w:val="CharStyle12"/>
          <w:sz w:val="24"/>
          <w:szCs w:val="24"/>
          <w:lang w:val="en-US" w:eastAsia="en-US"/>
        </w:rPr>
        <w:t>2025-9961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0"/>
        <w:jc w:val="both"/>
      </w:pPr>
      <w:r>
        <w:rPr>
          <w:rStyle w:val="CharStyle12"/>
        </w:rPr>
        <w:t xml:space="preserve">чтобы медицинское изделие могло быть использовано в соответствии с целевым назначением. Таким образом, при поставке именно медицинского изделия заказчику необходимо установить в извещении об осуществлении закупки требование о предоставлении участником закупки копии регистрационного удостоверения и/или информации о регистрационном удостоверении на медицинские изделия в соответствии с Федеральным законом от </w:t>
      </w:r>
      <w:r>
        <w:rPr>
          <w:rStyle w:val="CharStyle12"/>
          <w:lang w:val="en-US" w:eastAsia="en-US"/>
        </w:rPr>
        <w:t xml:space="preserve">21.11.2011 № </w:t>
      </w:r>
      <w:r>
        <w:rPr>
          <w:rStyle w:val="CharStyle12"/>
        </w:rPr>
        <w:t>323-ФЗ.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84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6.3.1. </w:t>
      </w:r>
      <w:r>
        <w:rPr>
          <w:rStyle w:val="CharStyle12"/>
        </w:rPr>
        <w:t>требований к содержанию, составу заявки на участие в закупке установлено:</w:t>
      </w:r>
    </w:p>
    <w:tbl>
      <w:tblPr>
        <w:tblOverlap w:val="never"/>
        <w:jc w:val="center"/>
        <w:tblLayout w:type="fixed"/>
      </w:tblPr>
      <w:tblGrid>
        <w:gridCol w:w="677"/>
        <w:gridCol w:w="8222"/>
        <w:gridCol w:w="1987"/>
      </w:tblGrid>
      <w:tr>
        <w:trPr>
          <w:trHeight w:val="25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0"/>
                <w:sz w:val="20"/>
                <w:szCs w:val="20"/>
                <w:lang w:val="en-US" w:eastAsia="en-US"/>
              </w:rPr>
              <w:t>6.3.1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0"/>
                <w:sz w:val="20"/>
                <w:szCs w:val="20"/>
              </w:rPr>
              <w:t xml:space="preserve">В соответствии с Постановлением Правительства Российской Федерации от </w:t>
            </w:r>
            <w:r>
              <w:rPr>
                <w:rStyle w:val="CharStyle20"/>
                <w:sz w:val="20"/>
                <w:szCs w:val="20"/>
                <w:lang w:val="en-US" w:eastAsia="en-US"/>
              </w:rPr>
              <w:t xml:space="preserve">23 </w:t>
            </w:r>
            <w:r>
              <w:rPr>
                <w:rStyle w:val="CharStyle20"/>
                <w:sz w:val="20"/>
                <w:szCs w:val="20"/>
              </w:rPr>
              <w:t xml:space="preserve">декабря </w:t>
            </w:r>
            <w:r>
              <w:rPr>
                <w:rStyle w:val="CharStyle20"/>
                <w:sz w:val="20"/>
                <w:szCs w:val="20"/>
                <w:lang w:val="en-US" w:eastAsia="en-US"/>
              </w:rPr>
              <w:t xml:space="preserve">2024 </w:t>
            </w:r>
            <w:r>
              <w:rPr>
                <w:rStyle w:val="CharStyle20"/>
                <w:sz w:val="20"/>
                <w:szCs w:val="20"/>
              </w:rPr>
              <w:t xml:space="preserve">г. </w:t>
            </w:r>
            <w:r>
              <w:rPr>
                <w:rStyle w:val="CharStyle20"/>
                <w:b/>
                <w:bCs/>
                <w:sz w:val="20"/>
                <w:szCs w:val="20"/>
                <w:lang w:val="en-US" w:eastAsia="en-US"/>
              </w:rPr>
              <w:t xml:space="preserve">N 1875 </w:t>
            </w:r>
            <w:r>
              <w:rPr>
                <w:rStyle w:val="CharStyle20"/>
                <w:sz w:val="20"/>
                <w:szCs w:val="20"/>
              </w:rPr>
              <w:t>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0"/>
                <w:b/>
                <w:bCs/>
                <w:sz w:val="20"/>
                <w:szCs w:val="20"/>
              </w:rPr>
              <w:t xml:space="preserve">ограничение закупок товаров </w:t>
            </w:r>
            <w:r>
              <w:rPr>
                <w:rStyle w:val="CharStyle20"/>
                <w:sz w:val="20"/>
                <w:szCs w:val="20"/>
              </w:rPr>
              <w:t xml:space="preserve">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      </w:r>
            <w:r>
              <w:rPr>
                <w:rStyle w:val="CharStyle20"/>
                <w:sz w:val="20"/>
                <w:szCs w:val="20"/>
                <w:lang w:val="en-US" w:eastAsia="en-US"/>
              </w:rPr>
              <w:t>N 2;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0"/>
                <w:b/>
                <w:bCs/>
                <w:i/>
                <w:iCs/>
                <w:color w:val="FF0000"/>
                <w:sz w:val="20"/>
                <w:szCs w:val="20"/>
                <w:u w:val="single"/>
              </w:rPr>
              <w:t>ПРИМЕНЯЕТСЯ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980"/>
        <w:jc w:val="both"/>
      </w:pPr>
      <w:r>
        <w:rPr>
          <w:rStyle w:val="CharStyle12"/>
        </w:rPr>
        <w:t>На сегодняшний день КТРУ предусмотрены следующие позиции ламп щелевой офтальмологической, смотровой: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 w:firstLine="700"/>
        <w:jc w:val="both"/>
      </w:pPr>
      <w:r>
        <w:rPr>
          <w:rStyle w:val="CharStyle12"/>
          <w:i/>
          <w:iCs/>
          <w:lang w:val="en-US" w:eastAsia="en-US"/>
        </w:rPr>
        <w:t>26.60.12.119-00000894, 26.60.12.119-00000709, 26.60.12.119-00000708, 26.60.12.119</w:t>
        <w:softHyphen/>
        <w:t>00000707, 26.60.12.119-00000706,26.60.12.119-00000702, 26.60.12.119-00000701, 26.60.12.119-00000700, 26.60.12.119-00000699, 26.60.12.119-00000698, 26.60.12.119</w:t>
        <w:softHyphen/>
        <w:t>00000710.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 w:firstLine="700"/>
        <w:jc w:val="both"/>
      </w:pPr>
      <w:r>
        <w:rPr>
          <w:rStyle w:val="CharStyle12"/>
        </w:rPr>
        <w:t xml:space="preserve">Заказчик, применив к описанию объекта закупки код </w:t>
      </w:r>
      <w:r>
        <w:rPr>
          <w:rStyle w:val="CharStyle12"/>
          <w:lang w:val="en-US" w:eastAsia="en-US"/>
        </w:rPr>
        <w:t xml:space="preserve">26.60.12.119 </w:t>
      </w:r>
      <w:r>
        <w:rPr>
          <w:rStyle w:val="CharStyle12"/>
        </w:rPr>
        <w:t xml:space="preserve">«Лампа щелевая офтальмологическая" и осуществляя описание объекта закупки по правилам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обошел императивные требования касающиеся использования КТРУ, что безусловно является существенным нарушением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 w:firstLine="700"/>
        <w:jc w:val="both"/>
      </w:pPr>
      <w:r>
        <w:rPr>
          <w:rStyle w:val="CharStyle12"/>
        </w:rPr>
        <w:t xml:space="preserve">Также в соответствии с ч. </w:t>
      </w:r>
      <w:r>
        <w:rPr>
          <w:rStyle w:val="CharStyle12"/>
          <w:lang w:val="en-US" w:eastAsia="en-US"/>
        </w:rPr>
        <w:t xml:space="preserve">1.1.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</w:t>
      </w:r>
      <w:r>
        <w:fldChar w:fldCharType="begin"/>
      </w:r>
      <w:r>
        <w:rPr/>
        <w:instrText> HYPERLINK "https://login.consultant.ru/link/?req=doc&amp;base=LAW&amp;n=466154&amp;dst=12373&amp;field=134&amp;date=14.03.2025" </w:instrText>
      </w:r>
      <w:r>
        <w:fldChar w:fldCharType="separate"/>
      </w:r>
      <w:r>
        <w:rPr>
          <w:rStyle w:val="CharStyle12"/>
        </w:rPr>
        <w:t xml:space="preserve"> </w:t>
      </w:r>
      <w:r>
        <w:rPr>
          <w:rStyle w:val="CharStyle12"/>
          <w:color w:val="0000FF"/>
        </w:rPr>
        <w:t xml:space="preserve">п. </w:t>
      </w:r>
      <w:r>
        <w:rPr>
          <w:rStyle w:val="CharStyle12"/>
          <w:color w:val="0000FF"/>
          <w:lang w:val="en-US" w:eastAsia="en-US"/>
        </w:rPr>
        <w:t xml:space="preserve">1 </w:t>
      </w:r>
      <w:r>
        <w:rPr>
          <w:rStyle w:val="CharStyle12"/>
          <w:color w:val="0000FF"/>
        </w:rPr>
        <w:t xml:space="preserve">ч. </w:t>
      </w:r>
      <w:r>
        <w:rPr>
          <w:rStyle w:val="CharStyle12"/>
          <w:color w:val="0000FF"/>
          <w:lang w:val="en-US" w:eastAsia="en-US"/>
        </w:rPr>
        <w:t xml:space="preserve">2 </w:t>
      </w:r>
      <w:r>
        <w:rPr>
          <w:rStyle w:val="CharStyle12"/>
          <w:color w:val="0000FF"/>
        </w:rPr>
        <w:t xml:space="preserve">ст. </w:t>
      </w:r>
      <w:r>
        <w:rPr>
          <w:rStyle w:val="CharStyle12"/>
          <w:color w:val="0000FF"/>
          <w:lang w:val="en-US" w:eastAsia="en-US"/>
        </w:rPr>
        <w:t xml:space="preserve">14 </w:t>
      </w:r>
      <w:r>
        <w:fldChar w:fldCharType="end"/>
      </w:r>
      <w:r>
        <w:rPr>
          <w:rStyle w:val="CharStyle12"/>
        </w:rPr>
        <w:t>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 w:firstLine="700"/>
        <w:jc w:val="both"/>
      </w:pPr>
      <w:r>
        <w:rPr>
          <w:rStyle w:val="CharStyle12"/>
        </w:rPr>
        <w:t>Вышеизложенное указывает на нарушение Заказчиком требований Закона о контрактной системе в части неприменения к описанию объекта закупки позиции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840"/>
        <w:jc w:val="both"/>
      </w:pPr>
      <w:r>
        <w:rPr>
          <w:rStyle w:val="CharStyle12"/>
        </w:rPr>
        <w:t>Учитывая изложенное, Комиссия Башкортостанского УФАС России полагает необходимым признать жалобу заявителя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840"/>
        <w:jc w:val="both"/>
      </w:pPr>
      <w:r>
        <w:rPr>
          <w:rStyle w:val="CharStyle12"/>
        </w:rPr>
        <w:t xml:space="preserve">В действиях Заказчика установлены нарушения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23,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42,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 w:firstLine="840"/>
        <w:jc w:val="both"/>
      </w:pPr>
      <w:r>
        <w:rPr>
          <w:rStyle w:val="CharStyle12"/>
        </w:rPr>
        <w:t xml:space="preserve">Выявленные нарушения содержат признаки административного правонарушения, ответственность за которое предусмотрена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640" w:right="0" w:firstLine="840"/>
        <w:jc w:val="both"/>
      </w:pPr>
      <w:r>
        <w:rPr>
          <w:rStyle w:val="CharStyle12"/>
        </w:rPr>
        <w:t xml:space="preserve">На основании вышеизложенного и руководствуясь 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5920" w:right="0" w:firstLine="0"/>
        <w:jc w:val="left"/>
      </w:pPr>
      <w:r>
        <w:rPr>
          <w:rStyle w:val="CharStyle12"/>
          <w:b/>
          <w:bCs/>
        </w:rPr>
        <w:t>РЕШИЛА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86" w:val="left"/>
        </w:tabs>
        <w:bidi w:val="0"/>
        <w:spacing w:before="0" w:after="380" w:line="240" w:lineRule="auto"/>
        <w:ind w:left="1480" w:right="0" w:firstLine="0"/>
        <w:jc w:val="both"/>
      </w:pPr>
      <w:r>
        <w:rPr>
          <w:rStyle w:val="CharStyle12"/>
        </w:rPr>
        <w:t>Признать жалобу ООО "Абрис"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96" w:val="left"/>
        </w:tabs>
        <w:bidi w:val="0"/>
        <w:spacing w:before="0" w:after="0"/>
        <w:ind w:left="640" w:right="0" w:firstLine="840"/>
        <w:jc w:val="both"/>
      </w:pPr>
      <w:r>
        <w:rPr>
          <w:rStyle w:val="CharStyle12"/>
        </w:rPr>
        <w:t xml:space="preserve">В действиях заказчика установлены нарушения части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23, </w:t>
      </w:r>
      <w:r>
        <w:rPr>
          <w:rStyle w:val="CharStyle12"/>
        </w:rPr>
        <w:t xml:space="preserve">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33, </w:t>
      </w:r>
      <w:r>
        <w:rPr>
          <w:rStyle w:val="CharStyle12"/>
        </w:rPr>
        <w:t xml:space="preserve">пункта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42, </w:t>
      </w:r>
      <w:r>
        <w:rPr>
          <w:rStyle w:val="CharStyle12"/>
        </w:rPr>
        <w:t xml:space="preserve">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01" w:val="left"/>
        </w:tabs>
        <w:bidi w:val="0"/>
        <w:spacing w:before="0" w:after="0"/>
        <w:ind w:left="640" w:right="0" w:firstLine="840"/>
        <w:jc w:val="both"/>
      </w:pPr>
      <w:r>
        <w:rPr>
          <w:rStyle w:val="CharStyle12"/>
        </w:rPr>
        <w:t>Учитывая существенный характер допущенного нарушения законодательства о контрактной системе, Комиссия решила выдать в адрес Заказчика, уполномоченного органа, оператора электронной площадки обязательное для исполнения предписание об аннулировании (отмене) процедуры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04" w:val="left"/>
        </w:tabs>
        <w:bidi w:val="0"/>
        <w:spacing w:before="0" w:after="320"/>
        <w:ind w:left="640" w:right="0" w:firstLine="840"/>
        <w:jc w:val="both"/>
      </w:pPr>
      <w:r>
        <w:rPr>
          <w:rStyle w:val="CharStyle12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1480" w:right="0" w:firstLine="0"/>
        <w:jc w:val="left"/>
      </w:pPr>
      <w:r>
        <w:rPr>
          <w:rStyle w:val="CharStyle12"/>
        </w:rPr>
        <w:t>Решение может быть обжаловано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5733415</wp:posOffset>
                </wp:positionH>
                <wp:positionV relativeFrom="paragraph">
                  <wp:posOffset>12700</wp:posOffset>
                </wp:positionV>
                <wp:extent cx="1639570" cy="14566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9570" cy="1456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Арсланов А.А.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"https://login.consultant.ru/link/?req=doc&amp;base=LAW&amp;n=466154&amp;dst=12373&amp;field=134&amp;date=14.03.2025"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2"/>
                              </w:rPr>
                              <w:t>Агзамова Д.Р.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Шарифуллин Т.А.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1.44999999999999pt;margin-top:1.pt;width:129.09999999999999pt;height:114.7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2"/>
                        </w:rPr>
                        <w:t>Арсланов А.А.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"https://login.consultant.ru/link/?req=doc&amp;base=LAW&amp;n=466154&amp;dst=12373&amp;field=134&amp;date=14.03.2025" </w:instrText>
                      </w:r>
                      <w:r>
                        <w:fldChar w:fldCharType="separate"/>
                      </w:r>
                      <w:r>
                        <w:rPr>
                          <w:rStyle w:val="CharStyle12"/>
                        </w:rPr>
                        <w:t>Агзамова Д.Р.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2"/>
                        </w:rPr>
                        <w:t>Шарифуллин Т.А.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12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fldChar w:fldCharType="begin"/>
      </w:r>
      <w:r>
        <w:rPr/>
        <w:instrText> HYPERLINK "https://login.consultant.ru/link/?req=doc&amp;base=LAW&amp;n=466154&amp;dst=12373&amp;field=134&amp;date=14.03.2025" </w:instrText>
      </w:r>
      <w:r>
        <w:fldChar w:fldCharType="separate"/>
      </w:r>
      <w:r>
        <w:rPr>
          <w:rStyle w:val="CharStyle12"/>
        </w:rPr>
        <w:t>Председатель Комиссии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640"/>
        <w:jc w:val="both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640"/>
        <w:jc w:val="both"/>
      </w:pPr>
      <w:r>
        <w:rPr>
          <w:rStyle w:val="CharStyle12"/>
        </w:rPr>
        <w:t>Начальник отдела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6" w:line="240" w:lineRule="auto"/>
        <w:ind w:right="0"/>
        <w:jc w:val="left"/>
      </w:pPr>
      <w:r>
        <w:rPr>
          <w:rStyle w:val="CharStyle26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8"/>
          <w:b/>
          <w:bCs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2"/>
          <w:szCs w:val="12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b/>
          <w:bCs/>
          <w:color w:val="000000"/>
          <w:sz w:val="12"/>
          <w:szCs w:val="12"/>
        </w:rPr>
        <w:t>Арсланов Анвар Аслямович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№ </w:t>
      </w:r>
      <w:r>
        <w:rPr>
          <w:rStyle w:val="CharStyle28"/>
          <w:lang w:val="en-US" w:eastAsia="en-US"/>
        </w:rPr>
        <w:t>00C05BB3C0A4D0AFCAA57207BD8CA1D68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right="0" w:firstLine="0"/>
        <w:jc w:val="both"/>
      </w:pPr>
      <w:r>
        <w:rPr>
          <w:rStyle w:val="CharStyle28"/>
        </w:rPr>
        <w:t>Действителен с 24.10.2024 по 17.01.2026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640" w:right="0" w:firstLine="0"/>
        <w:jc w:val="both"/>
        <w:rPr>
          <w:sz w:val="22"/>
          <w:szCs w:val="22"/>
        </w:rPr>
      </w:pPr>
      <w:r>
        <w:rPr>
          <w:rStyle w:val="CharStyle14"/>
          <w:sz w:val="22"/>
          <w:szCs w:val="22"/>
        </w:rPr>
        <w:t>Исп.Агзамова Д.Р. тел.3472163354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105" w:right="241" w:bottom="1188" w:left="0" w:header="67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2025-9961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75.7000000000000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2025-9961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415925</wp:posOffset>
              </wp:positionH>
              <wp:positionV relativeFrom="page">
                <wp:posOffset>10035540</wp:posOffset>
              </wp:positionV>
              <wp:extent cx="65532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2025-9961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2.75pt;margin-top:790.2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2025-9961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409575</wp:posOffset>
              </wp:positionH>
              <wp:positionV relativeFrom="page">
                <wp:posOffset>9836785</wp:posOffset>
              </wp:positionV>
              <wp:extent cx="573913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39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2.25pt;margin-top:774.55000000000007pt;width:451.90000000000003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415925</wp:posOffset>
              </wp:positionH>
              <wp:positionV relativeFrom="page">
                <wp:posOffset>10035540</wp:posOffset>
              </wp:positionV>
              <wp:extent cx="65532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2025-9961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2.75pt;margin-top:790.20000000000005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2025-9961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409575</wp:posOffset>
              </wp:positionH>
              <wp:positionV relativeFrom="page">
                <wp:posOffset>9836785</wp:posOffset>
              </wp:positionV>
              <wp:extent cx="5739130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39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2.25pt;margin-top:774.55000000000007pt;width:451.90000000000003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2)"/>
    <w:basedOn w:val="Normal"/>
    <w:link w:val="CharStyle14"/>
    <w:pPr>
      <w:widowControl w:val="0"/>
      <w:shd w:val="clear" w:color="auto" w:fill="auto"/>
      <w:spacing w:after="240"/>
      <w:ind w:left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20"/>
      <w:ind w:left="4420" w:firstLine="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spacing w:after="60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/Relationships>
</file>