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801370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05.09.2025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35778/25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100000000000001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05.09.2025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35778/25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704215</wp:posOffset>
                </wp:positionH>
                <wp:positionV relativeFrom="paragraph">
                  <wp:posOffset>4008120</wp:posOffset>
                </wp:positionV>
                <wp:extent cx="1322705" cy="62166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621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lang w:val="en-US" w:eastAsia="en-US"/>
                              </w:rPr>
                              <w:t>02.09.2025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</w:rPr>
                              <w:t>Комиссия</w:t>
                              <w:br/>
                              <w:t>по г. Москве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450000000000003pt;margin-top:315.60000000000002pt;width:104.15000000000001pt;height:48.950000000000003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14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  <w:lang w:val="en-US" w:eastAsia="en-US"/>
                        </w:rPr>
                        <w:t>02.09.2025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</w:rPr>
                        <w:t>Комиссия</w:t>
                        <w:br/>
                        <w:t>по г. Москве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left"/>
      </w:pPr>
      <w:r>
        <w:rPr>
          <w:rStyle w:val="CharStyle7"/>
        </w:rPr>
        <w:t>ФГБУ «НМИЦ АГП им. В.И.Кулакова»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</w:rPr>
        <w:t>Минздрава России</w:t>
        <w:br/>
      </w:r>
      <w:r>
        <w:fldChar w:fldCharType="begin"/>
      </w:r>
      <w:r>
        <w:rPr/>
        <w:instrText> HYPERLINK "mailto:tender@oparina4.ru" </w:instrText>
      </w:r>
      <w:r>
        <w:fldChar w:fldCharType="separate"/>
      </w:r>
      <w:r>
        <w:rPr>
          <w:rStyle w:val="CharStyle7"/>
          <w:lang w:val="en-US" w:eastAsia="en-US"/>
        </w:rPr>
        <w:t>tender@oparina4.ru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40" w:line="240" w:lineRule="auto"/>
        <w:ind w:left="1140" w:right="0" w:firstLine="0"/>
        <w:jc w:val="left"/>
      </w:pPr>
      <w:r>
        <w:rPr>
          <w:rStyle w:val="CharStyle7"/>
        </w:rPr>
        <w:t xml:space="preserve">ИП Кравченко А.В. </w:t>
      </w: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7"/>
          <w:lang w:val="en-US" w:eastAsia="en-US"/>
        </w:rPr>
        <w:t>info@gosfarm.ru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№077/06/106-11056/2025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40" w:firstLine="0"/>
        <w:jc w:val="right"/>
      </w:pP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Управления Федеральной антимонопольной службы по контролю в сфере закупок товаров, работ, услуг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 участии представителя ФГБУ «НМИЦ АГП им. В.И.Кулакова» Минздрава России: Д.В. Свиридова (по дов. от </w:t>
      </w:r>
      <w:r>
        <w:rPr>
          <w:rStyle w:val="CharStyle7"/>
          <w:lang w:val="en-US" w:eastAsia="en-US"/>
        </w:rPr>
        <w:t>16.07.2025 №01-15/2267),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отсутствие представителей ИП Кравченко А.В., о времени и порядке заседания Комиссии уведомленных Московским УФАС России посредством размещения информации в Единой информационной системе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ЕИС),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рассмотрев жалобы ИП Кравченко А.В.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Заявитель) на действия ФГБУ «НМИЦ АГП им. В.И.Кулакова» Минздрава России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Заказчик) при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rStyle w:val="CharStyle7"/>
        </w:rPr>
        <w:t xml:space="preserve">проведении электронных аукционов на право заключения государственного контракта на поставку медицинского оборудования (Закупки </w:t>
      </w:r>
      <w:r>
        <w:rPr>
          <w:rStyle w:val="CharStyle7"/>
          <w:lang w:val="en-US" w:eastAsia="en-US"/>
        </w:rPr>
        <w:t xml:space="preserve">№0373100013125000944, 0373100013125000945, 0373100013125000947, 0373100013125000948)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аукционы, электронные аукционы),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rStyle w:val="CharStyle14"/>
        </w:rPr>
        <w:t>IIIIIIIIIIIIIIIIIIIIIIIIIII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поступили жалобы Заявителя на действия Заказчика при проведении вышеуказанных аукционов.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Кроме того, Заказчиком направлено ходатайство об установлении регламента рассмотрения жалобы, в том числе установлении срока устных пояснений Заявителя, о недопущении озвучивания новых доводов, содержащихся в поданной жалобе, а также о дополнительных ходатайств, не относящихся к предмету жалобы, о запрете формулирование вопросов противоположной стороне, о проведении очного рассмотрения жалобы с обязательным личным присутствием подателя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Управления считает необходимым отметить, что удовлетворении данного ходатайства отказано в удовлетворении в части проведения очного рассмотрения жалобы, а также в части установления ограничений в недопущении дополнительных пояснений Заявителем по причине ограничения прав второй стороны, что противоречит принципам открытости и прозрачности проведения заседания по рассмотрению жалоб по существу.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составе жалоб Заявитель указывает, что в извещениях Заказчиком установлено ограничение, предусмотренное Постановлением Правительства РФ от </w:t>
      </w:r>
      <w:r>
        <w:rPr>
          <w:rStyle w:val="CharStyle7"/>
          <w:lang w:val="en-US" w:eastAsia="en-US"/>
        </w:rPr>
        <w:t xml:space="preserve">23.12.2024 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№1875), </w:t>
      </w:r>
      <w:r>
        <w:rPr>
          <w:rStyle w:val="CharStyle7"/>
        </w:rPr>
        <w:t>однако указанным в описании объекта закупок требованиям к техническим характеристикам, в полной мере, не соответствует ни одна из моделей ультразвукового диагностического оборудования, присутствующая в едином реестре радиоэлектронной продукции.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обоснование своей позиции Заявитель указывает, что на день подачи жалоб в едином реестре российской радиоэлектронной продукции зарегистрировано несколько ультразвуковых аппарата, производства АО «НИПК «Электрон», АО «Уральский приборостроительный завод», АО «Заслон» и ООО НМФ «Нейротех» соответствующих тому же классу (функциональному назначению) радиоэлектронной продукции, что и радиоэлектронная продукция, планируемая к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по мнению Заявителя, требования к товарам Заказчиком установлены, таким образом, что ни одна модель содержащееся в едином реестре российской радиоэлектронной продукции не соответствует требованиям описания объекта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</w:t>
      </w:r>
      <w:r>
        <w:rPr>
          <w:rStyle w:val="CharStyle7"/>
          <w:sz w:val="24"/>
          <w:szCs w:val="24"/>
          <w:lang w:val="en-US" w:eastAsia="en-US"/>
        </w:rPr>
        <w:t>2025-40533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пп.«б» п.1 ч.2 ст.14 Закона о контрактной системе Правительство Российской Федерации вправе с учетом положений ч.3 ст.14 Закона о контрактной системе принимать меры устанавливающие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П.1 Постановление Правительства РФ от </w:t>
      </w:r>
      <w:r>
        <w:rPr>
          <w:rStyle w:val="CharStyle7"/>
          <w:lang w:val="en-US" w:eastAsia="en-US"/>
        </w:rPr>
        <w:t xml:space="preserve">10.07.2019 №878 </w:t>
      </w:r>
      <w:r>
        <w:rPr>
          <w:rStyle w:val="CharStyle7"/>
        </w:rPr>
        <w:t xml:space="preserve">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</w:t>
      </w:r>
      <w:r>
        <w:rPr>
          <w:rStyle w:val="CharStyle7"/>
          <w:lang w:val="en-US" w:eastAsia="en-US"/>
        </w:rPr>
        <w:t xml:space="preserve">16 </w:t>
      </w:r>
      <w:r>
        <w:rPr>
          <w:rStyle w:val="CharStyle7"/>
        </w:rPr>
        <w:t xml:space="preserve">сентября </w:t>
      </w:r>
      <w:r>
        <w:rPr>
          <w:rStyle w:val="CharStyle7"/>
          <w:lang w:val="en-US" w:eastAsia="en-US"/>
        </w:rPr>
        <w:t xml:space="preserve">2016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N 925 </w:t>
      </w:r>
      <w:r>
        <w:rPr>
          <w:rStyle w:val="CharStyle7"/>
        </w:rPr>
        <w:t xml:space="preserve">и признании утратившими силу некоторых актов Правительства Российской Федерации»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№878) </w:t>
      </w:r>
      <w:r>
        <w:rPr>
          <w:rStyle w:val="CharStyle7"/>
        </w:rPr>
        <w:t xml:space="preserve">утвержден единый реестр российской радиоэлектронной продукции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Реестр).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Абз.3 п.1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Комиссией Управления установлено, что, согласно извещениям об осуществлении закупок, в отношении закупаемых изделий «Система </w:t>
      </w:r>
      <w:r>
        <w:rPr>
          <w:rStyle w:val="CharStyle7"/>
          <w:sz w:val="24"/>
          <w:szCs w:val="24"/>
          <w:lang w:val="en-US" w:eastAsia="en-US"/>
        </w:rPr>
        <w:t>2025-40533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ультразвуковой визуализации универсальная, с питанием от сети» позиции КТРУ </w:t>
      </w:r>
      <w:r>
        <w:rPr>
          <w:rStyle w:val="CharStyle7"/>
          <w:lang w:val="en-US" w:eastAsia="en-US"/>
        </w:rPr>
        <w:t xml:space="preserve">26.60.12.132-00000036 </w:t>
      </w:r>
      <w:r>
        <w:rPr>
          <w:rStyle w:val="CharStyle7"/>
        </w:rPr>
        <w:t xml:space="preserve">Заказчиком установлено ограничение, предусмотренное абз.3 п.1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этим Комиссия Управления отмечает, что положениями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и Постановления </w:t>
      </w:r>
      <w:r>
        <w:rPr>
          <w:rStyle w:val="CharStyle7"/>
          <w:lang w:val="en-US" w:eastAsia="en-US"/>
        </w:rPr>
        <w:t xml:space="preserve">№878 </w:t>
      </w:r>
      <w:r>
        <w:rPr>
          <w:rStyle w:val="CharStyle7"/>
        </w:rPr>
        <w:t>не установлены требования о том, что описание объекта закупки, сформированное в соответствии с положениями Закона о контрактной системе, должно быть составлено на основании характеристик товаров, содержащихся в Реестре.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 в составе жалобы Заявителем не представлено документов и сведений, указывающих на необходимость Заказчика формировать описание объекта закупки на основании характеристик изделий, содержащихся в Реестре.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 указанный довод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доводу жалоб Заказчиком не исполнены требования Постановления Правительства РФ от </w:t>
      </w:r>
      <w:r>
        <w:rPr>
          <w:rStyle w:val="CharStyle7"/>
          <w:lang w:val="en-US" w:eastAsia="en-US"/>
        </w:rPr>
        <w:t xml:space="preserve">03.12.2020 № 2014 </w:t>
      </w:r>
      <w:r>
        <w:rPr>
          <w:rStyle w:val="CharStyle7"/>
        </w:rPr>
        <w:t xml:space="preserve">«О минимальной обязательной доле закупок российских товаров и ее достижении заказчиком»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№2014), </w:t>
      </w:r>
      <w:r>
        <w:rPr>
          <w:rStyle w:val="CharStyle7"/>
        </w:rPr>
        <w:t xml:space="preserve">в части закупки аппаратов ультразвукового исследования Российского производства не менее </w:t>
      </w:r>
      <w:r>
        <w:rPr>
          <w:rStyle w:val="CharStyle7"/>
          <w:lang w:val="en-US" w:eastAsia="en-US"/>
        </w:rPr>
        <w:t>80%.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п.26 Перечня утративших силу актов и отдельных положений актов правительства российской федерации, утвержденным Постановлением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№2014 </w:t>
      </w:r>
      <w:r>
        <w:rPr>
          <w:rStyle w:val="CharStyle7"/>
        </w:rPr>
        <w:t>утрачивает силу.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П.12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определено, что Постановление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вступает в силу с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января </w:t>
      </w:r>
      <w:r>
        <w:rPr>
          <w:rStyle w:val="CharStyle7"/>
          <w:lang w:val="en-US" w:eastAsia="en-US"/>
        </w:rPr>
        <w:t xml:space="preserve">2025 </w:t>
      </w:r>
      <w:r>
        <w:rPr>
          <w:rStyle w:val="CharStyle7"/>
        </w:rPr>
        <w:t xml:space="preserve">г., за исключением пп.«ф» п.4 Постановление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который вступает в силу с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сентября </w:t>
      </w:r>
      <w:r>
        <w:rPr>
          <w:rStyle w:val="CharStyle7"/>
          <w:lang w:val="en-US" w:eastAsia="en-US"/>
        </w:rPr>
        <w:t xml:space="preserve">2025 </w:t>
      </w:r>
      <w:r>
        <w:rPr>
          <w:rStyle w:val="CharStyle7"/>
        </w:rPr>
        <w:t>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Пп.«а» п.10 Постановления </w:t>
      </w:r>
      <w:r>
        <w:rPr>
          <w:rStyle w:val="CharStyle7"/>
          <w:lang w:val="en-US" w:eastAsia="en-US"/>
        </w:rPr>
        <w:t xml:space="preserve">№187 </w:t>
      </w:r>
      <w:r>
        <w:rPr>
          <w:rStyle w:val="CharStyle7"/>
        </w:rPr>
        <w:t xml:space="preserve">установлено, что Постановление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применяется к отношениям, связанным с осуществлением закупок, извещения об осуществлении которых размещены в единой информационной системе и приглашения принять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после дня вступления в силу настоящего постановления, если иное не установлено Постановлением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этим Комиссия Управления установлено, что обжалуемые извещения </w:t>
      </w:r>
      <w:r>
        <w:rPr>
          <w:rStyle w:val="CharStyle7"/>
          <w:lang w:val="en-US" w:eastAsia="en-US"/>
        </w:rPr>
        <w:t xml:space="preserve">№№0373100013125000944, 0373100013125000945, 0373100013125000948 </w:t>
      </w:r>
      <w:r>
        <w:rPr>
          <w:rStyle w:val="CharStyle7"/>
        </w:rPr>
        <w:t xml:space="preserve">опубликованы Заказчиком </w:t>
      </w:r>
      <w:r>
        <w:rPr>
          <w:rStyle w:val="CharStyle7"/>
          <w:lang w:val="en-US" w:eastAsia="en-US"/>
        </w:rPr>
        <w:t xml:space="preserve">15.08.2025, </w:t>
      </w:r>
      <w:r>
        <w:rPr>
          <w:rStyle w:val="CharStyle7"/>
        </w:rPr>
        <w:t xml:space="preserve">обжалуемое извещение </w:t>
      </w:r>
      <w:r>
        <w:rPr>
          <w:rStyle w:val="CharStyle7"/>
          <w:lang w:val="en-US" w:eastAsia="en-US"/>
        </w:rPr>
        <w:t xml:space="preserve">№0373100013125000947 </w:t>
      </w:r>
      <w:r>
        <w:rPr>
          <w:rStyle w:val="CharStyle7"/>
        </w:rPr>
        <w:t xml:space="preserve">опубликовано </w:t>
      </w:r>
      <w:r>
        <w:rPr>
          <w:rStyle w:val="CharStyle7"/>
          <w:lang w:val="en-US" w:eastAsia="en-US"/>
        </w:rPr>
        <w:t>19.08.2025.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Таким образом, Комиссия Управления приходит к выводу, что Постановление </w:t>
      </w:r>
      <w:r>
        <w:rPr>
          <w:rStyle w:val="CharStyle7"/>
          <w:lang w:val="en-US" w:eastAsia="en-US"/>
        </w:rPr>
        <w:t xml:space="preserve">№2014 </w:t>
      </w:r>
      <w:r>
        <w:rPr>
          <w:rStyle w:val="CharStyle7"/>
        </w:rPr>
        <w:t xml:space="preserve">утратило силу и положения Постановления </w:t>
      </w:r>
      <w:r>
        <w:rPr>
          <w:rStyle w:val="CharStyle7"/>
          <w:lang w:val="en-US" w:eastAsia="en-US"/>
        </w:rPr>
        <w:t xml:space="preserve">№2014 </w:t>
      </w:r>
      <w:r>
        <w:rPr>
          <w:rStyle w:val="CharStyle7"/>
        </w:rPr>
        <w:t>не могут быть применены в отношении данных закупочных процедур.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Одновременно с этим Комиссия Управления отмечает.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07" w:right="536" w:bottom="703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В силу ч.6 ст.14 Закона о контрактной системе по итогам года до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февраля года, следующего за отчетным годом, в единой информационной системе </w:t>
      </w:r>
      <w:r>
        <w:rPr>
          <w:rStyle w:val="CharStyle7"/>
          <w:sz w:val="24"/>
          <w:szCs w:val="24"/>
          <w:lang w:val="en-US" w:eastAsia="en-US"/>
        </w:rPr>
        <w:t>2025-40533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размещается отчет об объеме закупок товаров российского происхождения, работ, услуг, соответственно выполняемых, оказываемых российскими лицами, который формируется путем обработки содержащейся в единой информационной системе информации, включенной в реестр контрактов, заключенных заказчиками, а также путем формирования заказчиком информации об объеме закупок, информация о которых не подлежит в соответствии с Законом о контрактной системе размещению в единой информационной системе. В случаях, установленных в соответствии с частью </w:t>
      </w:r>
      <w:r>
        <w:rPr>
          <w:rStyle w:val="CharStyle7"/>
          <w:lang w:val="en-US" w:eastAsia="en-US"/>
        </w:rPr>
        <w:t xml:space="preserve">8 </w:t>
      </w:r>
      <w:r>
        <w:rPr>
          <w:rStyle w:val="CharStyle7"/>
        </w:rPr>
        <w:t xml:space="preserve">настоящей статьи, при которых отчет об объеме закупок товаров российского происхождения, работ, услуг, соответственно выполняемых, оказываемых российскими лицами, не подлежит размещению в единой информационной системе, заказчик до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февраля года, следующего за отчетным годом, составляет и направляет такой отчет в указанный в ч.7 ст.14 Закона о контрактной системе федеральный орган исполнительной власти.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ч.7 ст.14 Закона о контрактной системе рассмотрение предусмотренных ч.6 ст.14 Закона о контрактной системе настоящей статьи отчетов об объеме закупок товаров российского происхождения, работ, услуг, соответственно выполняемых, оказываемых российскими лицами,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марта года, следующего за отчетным годом.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Управления отмечает, что исходя из буквального толкования положений ч.6,7 ст.14 Закона о контрактной системе, контроль исполнения вышеуказанных требований осуществляется по итогам прошедшего, а не текущего периода.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Кроме того, п.9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>определено, что Министерство финансов Российской Федерации федеральным органом исполнительной власти, уполномоченным на рассмотрение отчетов об объеме закупок товаров российского происхождения, работ, услуг, соответственно выполняемых, оказываемых российскими гражданами, российскими юридическими лицами, и оценку результатов осуществления в отчетном году таких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учитывая, что в рамках рассмотрения данных жалоб Комиссия Управления по контролю в сфере закупок не обладает полномочиями по рассмотрению отчетов об объеме закупок товаров российского происхождения, работ, услуг, соответственно выполняемых, оказываемых российскими гражданами, российскими юридическими лицами, и оценку результатов осуществления в отчетном году таких закупок, рассмотрение доводов жалоб в отношении нарушении Заказчиком указанного постановления не может быть осуществлено.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составе жалоб Заявитель также указывает, что Заказчиком неправомерно не установлен запрет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нужд, установленный Постановлением Правительства РФ от </w:t>
      </w:r>
      <w:r>
        <w:rPr>
          <w:rStyle w:val="CharStyle7"/>
          <w:lang w:val="en-US" w:eastAsia="en-US"/>
        </w:rPr>
        <w:t xml:space="preserve">16.11.2015 №1236 </w:t>
      </w:r>
      <w:r>
        <w:rPr>
          <w:rStyle w:val="CharStyle7"/>
        </w:rPr>
        <w:t>«Об утверждении Правил формирования и ведения единого реестра российских программ для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электронных вычислительных машин и баз данных и единого реестра программ для электронных вычислительных машин и баз данных из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за исключением Российской Федерации»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>№1236).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обоснование своей позиции Заявитель указывает, что закупаемый товар содержит в своем составе программное обеспечение, в связи с чем Заказчик обязан установить запрет на допуск программного обеспечения, происходящего из иностранных государств, предусмотренный Постановлением </w:t>
      </w:r>
      <w:r>
        <w:rPr>
          <w:rStyle w:val="CharStyle7"/>
          <w:lang w:val="en-US" w:eastAsia="en-US"/>
        </w:rPr>
        <w:t>№1236.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этим Комиссия Управления отмечает, что, ввиду вступления в силу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п.2 Постановлением </w:t>
      </w:r>
      <w:r>
        <w:rPr>
          <w:rStyle w:val="CharStyle7"/>
          <w:lang w:val="en-US" w:eastAsia="en-US"/>
        </w:rPr>
        <w:t xml:space="preserve">№1236, </w:t>
      </w:r>
      <w:r>
        <w:rPr>
          <w:rStyle w:val="CharStyle7"/>
        </w:rPr>
        <w:t xml:space="preserve">в редакции от </w:t>
      </w:r>
      <w:r>
        <w:rPr>
          <w:rStyle w:val="CharStyle7"/>
          <w:lang w:val="en-US" w:eastAsia="en-US"/>
        </w:rPr>
        <w:t xml:space="preserve">20.12.2017 </w:t>
      </w:r>
      <w:r>
        <w:rPr>
          <w:rStyle w:val="CharStyle7"/>
        </w:rPr>
        <w:t xml:space="preserve">которого был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 из иностранных государств, утратил силу с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января </w:t>
      </w:r>
      <w:r>
        <w:rPr>
          <w:rStyle w:val="CharStyle7"/>
          <w:lang w:val="en-US" w:eastAsia="en-US"/>
        </w:rPr>
        <w:t xml:space="preserve">2025 </w:t>
      </w:r>
      <w:r>
        <w:rPr>
          <w:rStyle w:val="CharStyle7"/>
        </w:rPr>
        <w:t>года.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этим, как установлено Комиссией Управления, извещения об осуществлении закупки </w:t>
      </w:r>
      <w:r>
        <w:rPr>
          <w:rStyle w:val="CharStyle7"/>
          <w:lang w:val="en-US" w:eastAsia="en-US"/>
        </w:rPr>
        <w:t xml:space="preserve">№№0373100013125000944, 0373100013125000945, 0373100013125000948 </w:t>
      </w:r>
      <w:r>
        <w:rPr>
          <w:rStyle w:val="CharStyle7"/>
        </w:rPr>
        <w:t xml:space="preserve">опубликованы Заказчиком </w:t>
      </w:r>
      <w:r>
        <w:rPr>
          <w:rStyle w:val="CharStyle7"/>
          <w:lang w:val="en-US" w:eastAsia="en-US"/>
        </w:rPr>
        <w:t xml:space="preserve">15.08.2025, </w:t>
      </w:r>
      <w:r>
        <w:rPr>
          <w:rStyle w:val="CharStyle7"/>
        </w:rPr>
        <w:t xml:space="preserve">обжалуемое извещение </w:t>
      </w:r>
      <w:r>
        <w:rPr>
          <w:rStyle w:val="CharStyle7"/>
          <w:lang w:val="en-US" w:eastAsia="en-US"/>
        </w:rPr>
        <w:t xml:space="preserve">№0373100013125000947 </w:t>
      </w:r>
      <w:r>
        <w:rPr>
          <w:rStyle w:val="CharStyle7"/>
        </w:rPr>
        <w:t xml:space="preserve">опубликовано </w:t>
      </w:r>
      <w:r>
        <w:rPr>
          <w:rStyle w:val="CharStyle7"/>
          <w:lang w:val="en-US" w:eastAsia="en-US"/>
        </w:rPr>
        <w:t xml:space="preserve">19.08.2025, </w:t>
      </w:r>
      <w:r>
        <w:rPr>
          <w:rStyle w:val="CharStyle7"/>
        </w:rPr>
        <w:t xml:space="preserve">в связи с чем довод Заявителя, на предмет нарушения требований Постановления </w:t>
      </w:r>
      <w:r>
        <w:rPr>
          <w:rStyle w:val="CharStyle7"/>
          <w:lang w:val="en-US" w:eastAsia="en-US"/>
        </w:rPr>
        <w:t xml:space="preserve">№1236, </w:t>
      </w:r>
      <w:r>
        <w:rPr>
          <w:rStyle w:val="CharStyle7"/>
        </w:rPr>
        <w:t>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Также в составе жалоб Заявитель указывает, что установленные Заказчиком требования к характеристикам необходимого к поставке изделия «Система ультразвуковой визуализации универсальная, с питанием от сети» ограничивают круг участников закупки, поскольку совокупности установленных требований к изделию не соответствует ни одно изделие, либо соответствует изделие конкретного производителя.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представитель Заказчика пояснил, что доводы жалоб не находят своего подтверждения, так как сформированным требованиям к характеристикам закупаемого оборудования соответствуют товары как минимум следующих производителей, а именно: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 закупочной процедуре </w:t>
      </w:r>
      <w:r>
        <w:rPr>
          <w:rStyle w:val="CharStyle7"/>
          <w:lang w:val="en-US" w:eastAsia="en-US"/>
        </w:rPr>
        <w:t xml:space="preserve">№0373100013125000944: </w:t>
      </w:r>
      <w:r>
        <w:rPr>
          <w:rStyle w:val="CharStyle7"/>
        </w:rPr>
        <w:t xml:space="preserve">изделие «Система ультразвуковая диагностическая медицинская «РуСкан </w:t>
      </w:r>
      <w:r>
        <w:rPr>
          <w:rStyle w:val="CharStyle7"/>
          <w:lang w:val="en-US" w:eastAsia="en-US"/>
        </w:rPr>
        <w:t xml:space="preserve">65» </w:t>
      </w:r>
      <w:r>
        <w:rPr>
          <w:rStyle w:val="CharStyle7"/>
        </w:rPr>
        <w:t xml:space="preserve">производства АО «НПО «Сканер» регистрационного удостоверения №РЗН </w:t>
      </w:r>
      <w:r>
        <w:rPr>
          <w:rStyle w:val="CharStyle7"/>
          <w:lang w:val="en-US" w:eastAsia="en-US"/>
        </w:rPr>
        <w:t xml:space="preserve">2020/12882 </w:t>
      </w:r>
      <w:r>
        <w:rPr>
          <w:rStyle w:val="CharStyle7"/>
        </w:rPr>
        <w:t xml:space="preserve">и изделие «Система ультразвуковая диагностическая медицинская </w:t>
      </w:r>
      <w:r>
        <w:rPr>
          <w:rStyle w:val="CharStyle7"/>
          <w:lang w:val="en-US" w:eastAsia="en-US"/>
        </w:rPr>
        <w:t xml:space="preserve">HS50-RUS/HS60-RUS» </w:t>
      </w:r>
      <w:r>
        <w:rPr>
          <w:rStyle w:val="CharStyle7"/>
        </w:rPr>
        <w:t xml:space="preserve">производства компании «Самсунг медисон КО., ЛТД.» регистрационного удостоверения №РЗН </w:t>
      </w:r>
      <w:r>
        <w:rPr>
          <w:rStyle w:val="CharStyle7"/>
          <w:lang w:val="en-US" w:eastAsia="en-US"/>
        </w:rPr>
        <w:t>2018/7390;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 закупочной процедуре </w:t>
      </w:r>
      <w:r>
        <w:rPr>
          <w:rStyle w:val="CharStyle7"/>
          <w:lang w:val="en-US" w:eastAsia="en-US"/>
        </w:rPr>
        <w:t xml:space="preserve">№0373100013125000945: </w:t>
      </w:r>
      <w:r>
        <w:rPr>
          <w:rStyle w:val="CharStyle7"/>
        </w:rPr>
        <w:t xml:space="preserve">изделие «Аппарат ультразвуковой диагностический </w:t>
      </w:r>
      <w:r>
        <w:rPr>
          <w:rStyle w:val="CharStyle7"/>
          <w:lang w:val="en-US" w:eastAsia="en-US"/>
        </w:rPr>
        <w:t xml:space="preserve">DC </w:t>
      </w:r>
      <w:r>
        <w:rPr>
          <w:rStyle w:val="CharStyle7"/>
        </w:rPr>
        <w:t xml:space="preserve">с принадлежностями вариант исполнения: </w:t>
      </w:r>
      <w:r>
        <w:rPr>
          <w:rStyle w:val="CharStyle7"/>
          <w:lang w:val="en-US" w:eastAsia="en-US"/>
        </w:rPr>
        <w:t xml:space="preserve">DC-80 </w:t>
      </w:r>
      <w:r>
        <w:rPr>
          <w:rStyle w:val="CharStyle7"/>
        </w:rPr>
        <w:t xml:space="preserve">ЕХР» производства компании «Шеньчжэнь Майндрэй Био-Медикал Электроникс Ко., Лтд» регистрационного удостоверения №РЗН </w:t>
      </w:r>
      <w:r>
        <w:rPr>
          <w:rStyle w:val="CharStyle7"/>
          <w:lang w:val="en-US" w:eastAsia="en-US"/>
        </w:rPr>
        <w:t xml:space="preserve">2018/7909 </w:t>
      </w:r>
      <w:r>
        <w:rPr>
          <w:rStyle w:val="CharStyle7"/>
        </w:rPr>
        <w:t xml:space="preserve">и изделие «Система ультразвуковая универсальной серии ЕМ-80 с принадлежностями, вариант исполнения: ЕМ-80Ехр по ТУ </w:t>
      </w:r>
      <w:r>
        <w:rPr>
          <w:rStyle w:val="CharStyle7"/>
          <w:lang w:val="en-US" w:eastAsia="en-US"/>
        </w:rPr>
        <w:t xml:space="preserve">26.60.12-002-39346393-2021» </w:t>
      </w:r>
      <w:r>
        <w:rPr>
          <w:rStyle w:val="CharStyle7"/>
        </w:rPr>
        <w:t xml:space="preserve">производства ООО «ЕЛС-МЕД» регистрационного удостоверения №РЗН </w:t>
      </w:r>
      <w:r>
        <w:rPr>
          <w:rStyle w:val="CharStyle7"/>
          <w:lang w:val="en-US" w:eastAsia="en-US"/>
        </w:rPr>
        <w:t>2023/19610;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 закупочной процедуре </w:t>
      </w:r>
      <w:r>
        <w:rPr>
          <w:rStyle w:val="CharStyle7"/>
          <w:lang w:val="en-US" w:eastAsia="en-US"/>
        </w:rPr>
        <w:t xml:space="preserve">№0373100013125000947: </w:t>
      </w:r>
      <w:r>
        <w:rPr>
          <w:rStyle w:val="CharStyle7"/>
        </w:rPr>
        <w:t xml:space="preserve">изделие «Система ультразвуковая диагностическая </w:t>
      </w:r>
      <w:r>
        <w:rPr>
          <w:rStyle w:val="CharStyle7"/>
          <w:lang w:val="en-US" w:eastAsia="en-US"/>
        </w:rPr>
        <w:t xml:space="preserve">Affiniti </w:t>
      </w:r>
      <w:r>
        <w:rPr>
          <w:rStyle w:val="CharStyle7"/>
        </w:rPr>
        <w:t xml:space="preserve">с принадлежностями» производства компании «Филипс Ультрасаунд, ЛЛС.» регистрационного удостоверения №РЗН </w:t>
      </w:r>
      <w:r>
        <w:rPr>
          <w:rStyle w:val="CharStyle7"/>
          <w:lang w:val="en-US" w:eastAsia="en-US"/>
        </w:rPr>
        <w:t xml:space="preserve">2016/4203 </w:t>
      </w:r>
      <w:r>
        <w:rPr>
          <w:rStyle w:val="CharStyle7"/>
        </w:rPr>
        <w:t xml:space="preserve">и изделие «Система диагностическая ультразвуковая </w:t>
      </w:r>
      <w:r>
        <w:rPr>
          <w:rStyle w:val="CharStyle7"/>
          <w:lang w:val="en-US" w:eastAsia="en-US"/>
        </w:rPr>
        <w:t xml:space="preserve">Aplio i- </w:t>
      </w:r>
      <w:r>
        <w:rPr>
          <w:rStyle w:val="CharStyle7"/>
        </w:rPr>
        <w:t xml:space="preserve">серии» производства компании «Канон Медикал Системз Корпорейшн» регистрационного удостоверения №РЗН </w:t>
      </w:r>
      <w:r>
        <w:rPr>
          <w:rStyle w:val="CharStyle7"/>
          <w:lang w:val="en-US" w:eastAsia="en-US"/>
        </w:rPr>
        <w:t>2020/11544;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 закупочной процедуре </w:t>
      </w:r>
      <w:r>
        <w:rPr>
          <w:rStyle w:val="CharStyle7"/>
          <w:lang w:val="en-US" w:eastAsia="en-US"/>
        </w:rPr>
        <w:t xml:space="preserve">№0373100013125000948: </w:t>
      </w:r>
      <w:r>
        <w:rPr>
          <w:rStyle w:val="CharStyle7"/>
        </w:rPr>
        <w:t>изделие «Система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ультразвуковая универсальной серии ЕМ-80 с принадлежностями, вариант исполнения: ЕМ-80Ехр по ТУ </w:t>
      </w:r>
      <w:r>
        <w:rPr>
          <w:rStyle w:val="CharStyle7"/>
          <w:lang w:val="en-US" w:eastAsia="en-US"/>
        </w:rPr>
        <w:t xml:space="preserve">26.60.12-002-39346393-2021» </w:t>
      </w:r>
      <w:r>
        <w:rPr>
          <w:rStyle w:val="CharStyle7"/>
        </w:rPr>
        <w:t xml:space="preserve">производства ООО «ЕЛС-МЕД» регистрационного удостоверения №РЗН </w:t>
      </w:r>
      <w:r>
        <w:rPr>
          <w:rStyle w:val="CharStyle7"/>
          <w:lang w:val="en-US" w:eastAsia="en-US"/>
        </w:rPr>
        <w:t xml:space="preserve">2023/19610 </w:t>
      </w:r>
      <w:r>
        <w:rPr>
          <w:rStyle w:val="CharStyle7"/>
        </w:rPr>
        <w:t xml:space="preserve">и изделие «Аппарат ультразвуковой диагностический </w:t>
      </w:r>
      <w:r>
        <w:rPr>
          <w:rStyle w:val="CharStyle7"/>
          <w:lang w:val="en-US" w:eastAsia="en-US"/>
        </w:rPr>
        <w:t xml:space="preserve">Resona </w:t>
      </w:r>
      <w:r>
        <w:rPr>
          <w:rStyle w:val="CharStyle7"/>
        </w:rPr>
        <w:t xml:space="preserve">с принадлежностями, варианты исполнения: </w:t>
      </w:r>
      <w:r>
        <w:rPr>
          <w:rStyle w:val="CharStyle7"/>
          <w:lang w:val="en-US" w:eastAsia="en-US"/>
        </w:rPr>
        <w:t xml:space="preserve">Resona 7, Resona </w:t>
      </w:r>
      <w:r>
        <w:rPr>
          <w:rStyle w:val="CharStyle7"/>
        </w:rPr>
        <w:t xml:space="preserve">7ЕХР, </w:t>
      </w:r>
      <w:r>
        <w:rPr>
          <w:rStyle w:val="CharStyle7"/>
          <w:lang w:val="en-US" w:eastAsia="en-US"/>
        </w:rPr>
        <w:t xml:space="preserve">Resona 7S, Resona 6, Resona 6PRO, Resona 6EXP, Resona 6S» </w:t>
      </w:r>
      <w:r>
        <w:rPr>
          <w:rStyle w:val="CharStyle7"/>
        </w:rPr>
        <w:t xml:space="preserve">производства компании «Шеньчжэнь Майндрэй Био-Медикал Электроникс Ко., Лтд» регистрационного удостоверения №РЗН </w:t>
      </w:r>
      <w:r>
        <w:rPr>
          <w:rStyle w:val="CharStyle7"/>
          <w:lang w:val="en-US" w:eastAsia="en-US"/>
        </w:rPr>
        <w:t>2018/7909.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обоснование своей позиции Заказчик представил в частности на заседании Комиссии Управлении сравнительные таблицы описания объекта закупок с предлагаемыми к поставке медицинскими изделиями, а также декларировал номера регистрационных удостоверений №№РЗН </w:t>
      </w:r>
      <w:r>
        <w:rPr>
          <w:rStyle w:val="CharStyle7"/>
          <w:lang w:val="en-US" w:eastAsia="en-US"/>
        </w:rPr>
        <w:t xml:space="preserve">2020/12882, </w:t>
      </w:r>
      <w:r>
        <w:rPr>
          <w:rStyle w:val="CharStyle7"/>
        </w:rPr>
        <w:t xml:space="preserve">РЗН </w:t>
      </w:r>
      <w:r>
        <w:rPr>
          <w:rStyle w:val="CharStyle7"/>
          <w:lang w:val="en-US" w:eastAsia="en-US"/>
        </w:rPr>
        <w:t xml:space="preserve">2018/7390, </w:t>
      </w:r>
      <w:r>
        <w:rPr>
          <w:rStyle w:val="CharStyle7"/>
        </w:rPr>
        <w:t xml:space="preserve">РЗН </w:t>
      </w:r>
      <w:r>
        <w:rPr>
          <w:rStyle w:val="CharStyle7"/>
          <w:lang w:val="en-US" w:eastAsia="en-US"/>
        </w:rPr>
        <w:t xml:space="preserve">2023/19610, </w:t>
      </w:r>
      <w:r>
        <w:rPr>
          <w:rStyle w:val="CharStyle7"/>
        </w:rPr>
        <w:t xml:space="preserve">РЗН </w:t>
      </w:r>
      <w:r>
        <w:rPr>
          <w:rStyle w:val="CharStyle7"/>
          <w:lang w:val="en-US" w:eastAsia="en-US"/>
        </w:rPr>
        <w:t xml:space="preserve">2020/11544, </w:t>
      </w:r>
      <w:r>
        <w:rPr>
          <w:rStyle w:val="CharStyle7"/>
        </w:rPr>
        <w:t xml:space="preserve">РЗН </w:t>
      </w:r>
      <w:r>
        <w:rPr>
          <w:rStyle w:val="CharStyle7"/>
          <w:lang w:val="en-US" w:eastAsia="en-US"/>
        </w:rPr>
        <w:t>2018/7909.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 Заказчиком предоставлены документы и сведения, свидетельствующие о соответствии как минимум двух изделий различных производителей оспариваемым требованиям описания объекта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Вместе с тем на заседании Комиссии Управления Заявителем не представлено документов и сведений, свидетельствующих о несоответствии вышеуказанных медицинских изделий требованиям описания объекта закупок. Также в материалах жалоб Заявителем не представлено документов и сведений, подтверждающих обоснованность вышеуказанных доводов, в том числе, в части невозможности подготовки заявки на участие в аукционах и ограничения количества участников закупок, а также свидетельствующих о нарушении Заказчиком норм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Также в составе жалоб Заявитель указывает, что структурированная форма извещений сформирована Заказчиком в нарушение положений Закона о контрактной системе, так как в составе извещениях в отдельном файле отсутствует техническое задание, в четком соответствии с описанием объекта закупок отраженном в извещениях.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08.02.2017 №145 </w:t>
      </w:r>
      <w:r>
        <w:rPr>
          <w:rStyle w:val="CharStyle7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Правила использования КТРУ).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приглашении принять участие в определении поставщика (подрядчика, исполнителя)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приглашение);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документации о закупке (в случае если Федеральным законом предусмотрена документация о закупке);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контракте;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реестре контрактов, заключенных заказчиками.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Вместе с этим Комиссией Управления установлено, что в составе жалоб, не указаны положения извещений, описания объекта закупок, являющиеся противоречивыми и/или неполными в той или иной части,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 указанный довод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Также в составе жалобы Заявитель указывает, что в извещении не указаны контактные данные лица Заказчика, являющегося конечным получателем изделия, при этом, по мнению Заявителя, в извещении подлежат указанию контактные данные лица, являющегося конечным получателем изделий.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 ч.1 ст.42 Закона о контрактной системе извещение об осуществлении закупки должно содержать наименование, место нахождения, почтовый адрес, адрес электронной почты, номер контактного телефона, ответственное должностное лицо заказчика, специализированной организации (в случае ее привлечения заказчиком).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 в составе извещений Заказчиком размещена в том числе следующая информация: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 закупочным процедурам </w:t>
      </w:r>
      <w:r>
        <w:rPr>
          <w:rStyle w:val="CharStyle7"/>
          <w:lang w:val="en-US" w:eastAsia="en-US"/>
        </w:rPr>
        <w:t>№№0373100013125000944, 0373100013125000945, 0373100013125000948: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«Ответственное должностное лицо: Аносова Е.А.»;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«Адрес электронной почты: </w:t>
      </w:r>
      <w:r>
        <w:rPr>
          <w:rStyle w:val="CharStyle7"/>
          <w:lang w:val="en-US" w:eastAsia="en-US"/>
        </w:rPr>
        <w:t>tender@oparina4.ru»;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«Номер контактного телефона: </w:t>
      </w:r>
      <w:r>
        <w:rPr>
          <w:rStyle w:val="CharStyle7"/>
          <w:lang w:val="en-US" w:eastAsia="en-US"/>
        </w:rPr>
        <w:t>7-495-4382288».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 закупочной процедуре </w:t>
      </w:r>
      <w:r>
        <w:rPr>
          <w:rStyle w:val="CharStyle7"/>
          <w:lang w:val="en-US" w:eastAsia="en-US"/>
        </w:rPr>
        <w:t>№0373100013125000947: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«Ответственное должностное лицо: Волк Н.Ю.»;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«Адрес электронной почты: </w:t>
      </w:r>
      <w:r>
        <w:rPr>
          <w:rStyle w:val="CharStyle7"/>
          <w:lang w:val="en-US" w:eastAsia="en-US"/>
        </w:rPr>
        <w:t>tender@oparina4.ru»;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«Номер контактного телефона: </w:t>
      </w:r>
      <w:r>
        <w:rPr>
          <w:rStyle w:val="CharStyle7"/>
          <w:lang w:val="en-US" w:eastAsia="en-US"/>
        </w:rPr>
        <w:t>7-495-4382288».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Управления отмечает, что Законом о контрактной системе не предусмотрена обязанность Заказчика размещать в извещении сведения о сотрудниках, фактических получателях закупаемого изделия, в связи с чем размещение вышеуказанной информации об ответственном лице и его контактных данных (контактных данных Заказчика) является надлежащим исполнением требований п.1 ч.1 ст.42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 данный довод жалоб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Также в составе жалоб Заявитель указывает, что составе извещения, в том числе в проекте контракта, не содержится сведений о сроке действия и окончания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п.8 ч.1 ст.42 Закона о контрактной системе извещение об осуществлении закупки должно содержать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п.5 ч.2 ст.42 Закона о контрактной системе извещение об осуществлении закупки, если иное не предусмотрено Законом о контрактной системе, должно содержать электронный документ, содержащий проект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 в составе извещений Заказчиком размещена в том числе следующая информация: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3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«Дата начала исполнения контракта: с даты заключения контракта»;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3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«Срок исполнения контракта: </w:t>
      </w:r>
      <w:r>
        <w:rPr>
          <w:rStyle w:val="CharStyle7"/>
          <w:lang w:val="en-US" w:eastAsia="en-US"/>
        </w:rPr>
        <w:t>20.12.2025».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ч.1 ст.34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приглашение, документация о закупке, заявка не предусмотрены. В случае,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предусмотренном ч.24 ст.22 Закона о контрактной системе,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Исходя из вышеизложенного Комиссия Управления приходит к выводу, что сведения о сроках исполнения контракта размещены Заказчиком в составе извещений.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 данный довод жалоб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Также в составе жалоб Заявитель ходатайствует о направлении жалоб в органы финансового контроля, Министерство здравоохранения Российской Федерации для рассмотрения доводов жалобы, относящихся к компетенции данных органов, в частности проведения проверки обоснования начальной (максимальной) цены контракта и исполнения положений Постановления </w:t>
      </w:r>
      <w:r>
        <w:rPr>
          <w:rStyle w:val="CharStyle7"/>
          <w:lang w:val="en-US" w:eastAsia="en-US"/>
        </w:rPr>
        <w:t>№2014.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этим Комиссия Управления отмечает, что жалобы Заявителя не перенаправлялись в органы финансового контроля, Министерство здравоохранения Российской Федерации, так как были приняты к рассмотрению Московским УФАС России в рамках главы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>Закона о контрактной системе, доводы, относящихся к компетенции органов финансового контроля, Министерства промышленности и торговли Российской Федерации, оставлены Комиссией Управления без рассмотрения, ввиду чего Заявитель вправе самостоятельно подать жалобы в соответствующие органы.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Управления также считает необходимым отметить, что направление жалоб по ведомственной принадлежности осуществляется в рамках предварительного рассмотрения жалоб, при этом в рамках предварительного рассмотрения данных жалоб установлено, что жалобы подлежат рассмотрению Комиссией Управления, в рамках большей части доводов, ввиду чего не могут быть перенаправлены по ведомственной принадлежности для рассмотрения в иные органы государственного контроля.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вышеизложенного Комиссией Управления принято решение об отказе в удовлетворении вышеуказанного ходатайства.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Также в адрес Комиссии Управления Заявителем направлено ходатайство об ознакомлении с возражениями, направленными Заказчиком в материалы дела, в связи с чем Комиссией Управления в адрес Заявителя направлены запрашиваемые документы, в части тех документов, которые были представлены Заказчиком в материалы дела и запрошены Заявителем.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Относительно ходатайства о предоставлении сведений из заявок участников аукционов на право заключения государственного контракта на поставку медицинского оборудования с вводом в эксплуатацию и обучением персонала Московское УФАС России сообщает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того обстоятельства, что в заявках может содержатся информация, содержащая коммерческую тайну или персональные данные, Комиссия Управления отсутствуют правовые основании для передачи таких сведений иным лицам.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Право лица, участвующего в деле, на ознакомление с материалами дела не может нарушать права иных лиц, и не действует безгранично и безусловно.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соответствии с ч.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9 </w:t>
      </w:r>
      <w:r>
        <w:rPr>
          <w:rStyle w:val="CharStyle7"/>
        </w:rPr>
        <w:t xml:space="preserve">Федерального закона от </w:t>
      </w:r>
      <w:r>
        <w:rPr>
          <w:rStyle w:val="CharStyle7"/>
          <w:lang w:val="en-US" w:eastAsia="en-US"/>
        </w:rPr>
        <w:t xml:space="preserve">09.02.2009 № </w:t>
      </w:r>
      <w:r>
        <w:rPr>
          <w:rStyle w:val="CharStyle7"/>
        </w:rPr>
        <w:t>8-ФЗ «Об обеспечении доступа к информации о деятельности государственных органов и органов местного самоуправления» организация доступа к информации о деятельности государственных органов и органов местного самоуправления осуществляется с учетом требований настоящего Федерального закона в порядке, установленном государственными органами, органами местного самоуправления в пределах своих полномочий.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исходя их положений названного федерального закона, антимонопольный орган обязан обеспечить ознакомление с информацией, если такая возможность прямо предусмотрена законом.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Вместе с тем законодательство Российской Федерации, регламентирующее порядок рассмотрения антимонопольным органом жалоб на нарушения законодательства о контрактной системе, не содержит положений о возможности ознакомления сторон с материалами дел указанной категории.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Также в своем ходатайстве Заявитель указывает о необходимости переноса заседания Комиссии Управления на время, определенное в ходатайстве.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Московское УФАС России считает необходимым отметить, что назначение даты, места и времени рассмотрения жалобы осуществляется должностными лицами Московского УФАС России в соответствии с внутренним распорядком, в том числе с учетом уже назначенных заседаний, а также необходимостью осуществления должностными лицами своих служебных обязанностей, направленных на обеспечение исполнения государственных функций, ввиду чего осуществление переноса рассмотрения жалобы без достаточных на то оснований, препятствующих рассмотрению жалобы, не осуществляется.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Помимо этого Заявитель ходатайствует о рассмотрении новых доводов, не содержащихся в составе жалоб и озвученных на заседании комиссии по контролю в сфере закупок товаров, работ, услуг Управления Федеральной антимонопольной службы по г. Москве.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Московское УФАС России отмечает, что порядок подачи жалобы регламентирован ст.105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дополнительные доводы жалоб не могут приняты к рассмотрению, поскольку Заявителем при их подаче не соблюден порядок предусмотренный ч.4 ст.105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7" w:bottom="1085" w:left="1100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Признать жалобы ИП Кравченко А.В. на действия ФГБУ «НМИЦ АГП им. В.И.Кулакова» Минздрава России необоснованными.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6" w:val="left"/>
        </w:tabs>
        <w:bidi w:val="0"/>
        <w:spacing w:before="0" w:after="240" w:line="240" w:lineRule="auto"/>
        <w:ind w:left="0" w:right="0" w:firstLine="700"/>
        <w:jc w:val="both"/>
      </w:pPr>
      <w:r>
        <w:rPr>
          <w:rStyle w:val="CharStyle7"/>
        </w:rPr>
        <w:t>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53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40995" distL="0" distR="0" simplePos="0" relativeHeight="125829383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200000000000003pt;margin-top:26.pt;width:145.20000000000002pt;height:19.699999999999999pt;z-index:-125829370;mso-wrap-distance-left:0;mso-wrap-distance-top:26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0050" distB="0" distL="0" distR="1786255" simplePos="0" relativeHeight="125829385" behindDoc="0" locked="0" layoutInCell="1" allowOverlap="1">
            <wp:simplePos x="0" y="0"/>
            <wp:positionH relativeFrom="page">
              <wp:posOffset>3025140</wp:posOffset>
            </wp:positionH>
            <wp:positionV relativeFrom="paragraph">
              <wp:posOffset>400050</wp:posOffset>
            </wp:positionV>
            <wp:extent cx="359410" cy="52451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3485515</wp:posOffset>
                </wp:positionH>
                <wp:positionV relativeFrom="paragraph">
                  <wp:posOffset>805180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4.44999999999999pt;margin-top:63.3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3445510</wp:posOffset>
                </wp:positionH>
                <wp:positionV relativeFrom="paragraph">
                  <wp:posOffset>488315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1.30000000000001pt;margin-top:38.4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40995" distL="0" distR="0" simplePos="0" relativeHeight="125829386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330200</wp:posOffset>
                </wp:positionV>
                <wp:extent cx="1307465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5.25pt;margin-top:26.pt;width:102.95pt;height:19.699999999999999pt;z-index:-125829367;mso-wrap-distance-left:0;mso-wrap-distance-top:26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Кутейников Антон Андреевич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67950889C45403E5BD9EBC88A8D80C0D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1"/>
        </w:rPr>
        <w:t xml:space="preserve">Действителен с 19.05.2025 </w:t>
      </w:r>
      <w:r>
        <w:rPr>
          <w:rStyle w:val="CharStyle21"/>
          <w:color w:val="555555"/>
        </w:rPr>
        <w:t xml:space="preserve">по </w:t>
      </w:r>
      <w:r>
        <w:rPr>
          <w:rStyle w:val="CharStyle21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3025140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3485515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4.44999999999999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3445510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1.30000000000001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Матюшенко Александр Александрович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4F595A5C3E5ABB2DD77161F08559FC07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rStyle w:val="CharStyle21"/>
        </w:rPr>
        <w:t xml:space="preserve">Действителен с 22.07.2025 </w:t>
      </w:r>
      <w:r>
        <w:rPr>
          <w:rStyle w:val="CharStyle21"/>
          <w:color w:val="555555"/>
        </w:rPr>
        <w:t xml:space="preserve">по </w:t>
      </w:r>
      <w:r>
        <w:rPr>
          <w:rStyle w:val="CharStyle21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3680" w:right="0" w:firstLine="0"/>
        <w:jc w:val="left"/>
      </w:pPr>
      <w:r>
        <w:drawing>
          <wp:anchor distT="0" distB="0" distL="114300" distR="1918970" simplePos="0" relativeHeight="125829389" behindDoc="0" locked="0" layoutInCell="1" allowOverlap="1">
            <wp:simplePos x="0" y="0"/>
            <wp:positionH relativeFrom="page">
              <wp:posOffset>3049270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3445510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1.30000000000001pt;margin-top:11.5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М.В. Сорбучева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</w:t>
      </w:r>
      <w:r>
        <w:rPr>
          <w:rStyle w:val="CharStyle21"/>
          <w:color w:val="555555"/>
        </w:rPr>
        <w:t xml:space="preserve">выдан: </w:t>
      </w:r>
      <w:r>
        <w:rPr>
          <w:rStyle w:val="CharStyle21"/>
          <w:color w:val="000000"/>
        </w:rPr>
        <w:t>Сорбучева Мария Васильевна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00F3B71218F970424B4D41C7997434F304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4100" w:line="240" w:lineRule="auto"/>
        <w:ind w:right="0" w:firstLine="0"/>
        <w:jc w:val="left"/>
      </w:pPr>
      <w:r>
        <w:rPr>
          <w:rStyle w:val="CharStyle21"/>
        </w:rPr>
        <w:t xml:space="preserve">Действителен с 19.09.2024 </w:t>
      </w:r>
      <w:r>
        <w:rPr>
          <w:rStyle w:val="CharStyle21"/>
          <w:color w:val="555555"/>
        </w:rPr>
        <w:t>по 13.12.2025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8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10309860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2025-40533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50000000000001pt;margin-top:811.80000000000007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2025-40533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  <w:lang w:val="ru-RU" w:eastAsia="ru-RU"/>
                            </w:rPr>
                            <w:t>2025-40533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  <w:lang w:val="ru-RU" w:eastAsia="ru-RU"/>
                      </w:rPr>
                      <w:t>2025-40533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443865</wp:posOffset>
              </wp:positionV>
              <wp:extent cx="7620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0000000000002pt;margin-top:34.950000000000003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3884295</wp:posOffset>
              </wp:positionH>
              <wp:positionV relativeFrom="page">
                <wp:posOffset>473075</wp:posOffset>
              </wp:positionV>
              <wp:extent cx="140335" cy="698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5.85000000000002pt;margin-top:37.25pt;width:11.050000000000001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5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4">
    <w:name w:val="Heading #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Body text (4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6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80"/>
      <w:ind w:left="36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Body text (4)"/>
    <w:basedOn w:val="Normal"/>
    <w:link w:val="CharStyle28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