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rStyle w:val="CharStyle9"/>
          <w:b/>
          <w:bCs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54" w:lineRule="auto"/>
        <w:ind w:left="0" w:right="0" w:firstLine="0"/>
        <w:jc w:val="center"/>
      </w:pPr>
      <w:r>
        <w:rPr>
          <w:rStyle w:val="CharStyle9"/>
          <w:b/>
          <w:bCs/>
        </w:rPr>
        <w:t>Федеральной антимонопольной службы</w:t>
        <w:br/>
        <w:t>по Ростовской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6"/>
        </w:rPr>
        <w:t>пр. Ворошиловский, 2/2, офис 403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0"/>
        <w:jc w:val="center"/>
      </w:pPr>
      <w:r>
        <w:rPr>
          <w:rStyle w:val="CharStyle6"/>
        </w:rPr>
        <w:t>г. Ростов-на-Дону, 344006</w:t>
        <w:br/>
        <w:t>тел. (863) 263-31-04, факс (863) 240-99-59</w:t>
        <w:br/>
      </w: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"mailto:to61@fas.gov.ru" </w:instrText>
      </w:r>
      <w:r>
        <w:fldChar w:fldCharType="separate"/>
      </w:r>
      <w:r>
        <w:rPr>
          <w:rStyle w:val="CharStyle6"/>
          <w:lang w:val="en-US" w:eastAsia="en-US"/>
        </w:rPr>
        <w:t>to61@fas.gov.ru</w:t>
      </w:r>
      <w:r>
        <w:fldChar w:fldCharType="end"/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 w:after="240" w:line="266" w:lineRule="auto"/>
        <w:ind w:left="0" w:right="0" w:firstLine="0"/>
        <w:jc w:val="left"/>
        <w:rPr>
          <w:sz w:val="18"/>
          <w:szCs w:val="18"/>
        </w:rPr>
      </w:pPr>
      <w:r>
        <w:rPr>
          <w:rStyle w:val="CharStyle9"/>
          <w:sz w:val="18"/>
          <w:szCs w:val="18"/>
        </w:rPr>
        <w:tab/>
        <w:t xml:space="preserve"> №</w:t>
        <w:tab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center"/>
        <w:rPr>
          <w:sz w:val="18"/>
          <w:szCs w:val="18"/>
        </w:rPr>
      </w:pPr>
      <w:r>
        <w:rPr>
          <w:rStyle w:val="CharStyle9"/>
          <w:sz w:val="18"/>
          <w:szCs w:val="18"/>
        </w:rPr>
        <w:t xml:space="preserve">На №  от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  <w:b/>
          <w:bCs/>
        </w:rPr>
        <w:t>ООО «МАРС СТРОЙ»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  <w:b/>
          <w:bCs/>
        </w:rPr>
        <w:t>(далее – Заявитель)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2"/>
        </w:rPr>
        <w:t xml:space="preserve">пер. Донецкий, двлд. 32/39, г. Ростов-на-дону, 344056 </w:t>
      </w:r>
      <w:r>
        <w:rPr>
          <w:rStyle w:val="CharStyle12"/>
          <w:lang w:val="en-US" w:eastAsia="en-US"/>
        </w:rPr>
        <w:t xml:space="preserve">Email: </w:t>
      </w:r>
      <w:r>
        <w:fldChar w:fldCharType="begin"/>
      </w:r>
      <w:r>
        <w:rPr/>
        <w:instrText> HYPERLINK "mailto:marsstroy15@mail.ru" </w:instrText>
      </w:r>
      <w:r>
        <w:fldChar w:fldCharType="separate"/>
      </w:r>
      <w:r>
        <w:rPr>
          <w:rStyle w:val="CharStyle12"/>
          <w:color w:val="000080"/>
          <w:u w:val="single"/>
          <w:lang w:val="en-US" w:eastAsia="en-US"/>
        </w:rPr>
        <w:t>marsstroy15@mail.ru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  <w:b/>
          <w:bCs/>
        </w:rPr>
        <w:t>ГБУ РО «Центральная районная больница» в Сальском районе (далее – Заказчик)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2"/>
        </w:rPr>
        <w:t xml:space="preserve">ул. Павлова, д. 2, г. Сальск, Сальский р-н, Ростовская обл., 347630 </w:t>
      </w:r>
      <w:r>
        <w:rPr>
          <w:rStyle w:val="CharStyle12"/>
          <w:lang w:val="en-US" w:eastAsia="en-US"/>
        </w:rPr>
        <w:t>Email:</w:t>
      </w:r>
      <w:r>
        <w:fldChar w:fldCharType="begin"/>
      </w:r>
      <w:r>
        <w:rPr/>
        <w:instrText> HYPERLINK "mailto:salsk-crb-zakupki@mail.ru" </w:instrText>
      </w:r>
      <w:r>
        <w:fldChar w:fldCharType="separate"/>
      </w:r>
      <w:r>
        <w:rPr>
          <w:rStyle w:val="CharStyle12"/>
          <w:lang w:val="en-US" w:eastAsia="en-US"/>
        </w:rPr>
        <w:t xml:space="preserve"> </w:t>
      </w:r>
      <w:r>
        <w:rPr>
          <w:rStyle w:val="CharStyle12"/>
          <w:color w:val="000080"/>
          <w:u w:val="single"/>
          <w:lang w:val="en-US" w:eastAsia="en-US"/>
        </w:rPr>
        <w:t>salsk-crb-zakupki@mail.ru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  <w:b/>
          <w:bCs/>
        </w:rPr>
        <w:t>АО «ЕЭТП»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  <w:b/>
          <w:bCs/>
        </w:rPr>
        <w:t>(далее – Оператор электронной площадки)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1352" w:bottom="1313" w:left="1135" w:header="0" w:footer="3" w:gutter="0"/>
          <w:pgNumType w:start="1"/>
          <w:cols w:num="2" w:space="1128"/>
          <w:noEndnote/>
          <w:titlePg/>
          <w:rtlGutter w:val="0"/>
          <w:docGrid w:linePitch="360"/>
        </w:sectPr>
      </w:pPr>
      <w:r>
        <w:rPr>
          <w:rStyle w:val="CharStyle12"/>
          <w:lang w:val="en-US" w:eastAsia="en-US"/>
        </w:rPr>
        <w:t xml:space="preserve">Email: </w:t>
      </w: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12"/>
          <w:color w:val="000080"/>
          <w:u w:val="single"/>
          <w:lang w:val="en-US" w:eastAsia="en-US"/>
        </w:rPr>
        <w:t>ko@roseltorg.ru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" w:after="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12" w:right="0" w:bottom="128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2"/>
          <w:b/>
          <w:bCs/>
        </w:rPr>
        <w:t>по результатам рассмотрения дела</w:t>
        <w:br/>
        <w:t>№061/06/105-2657/2025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714375</wp:posOffset>
                </wp:positionH>
                <wp:positionV relativeFrom="paragraph">
                  <wp:posOffset>12700</wp:posOffset>
                </wp:positionV>
                <wp:extent cx="740410" cy="225425"/>
                <wp:wrapSquare wrapText="right"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4041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02.09.2025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56.25pt;margin-top:1.pt;width:58.300000000000004pt;height:17.7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02.09.2025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2"/>
        </w:rPr>
        <w:t>г. Ростов-на-Дону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rStyle w:val="CharStyle12"/>
        </w:rPr>
        <w:t>Комиссия Управления Федеральной антимонопольной службы по Ростовской области (далее – Ростовское УФАС России, Комиссия) по контролю соблюдения законодательства в сфере закупок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81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Председатель Комиссии:</w:t>
        <w:tab/>
        <w:t>С.В. Батурин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52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Члены Комиссии:</w:t>
        <w:tab/>
        <w:t>В.Д. Кириленко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2"/>
        </w:rPr>
        <w:t>С.В. Панченко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60"/>
        <w:jc w:val="both"/>
      </w:pPr>
      <w:r>
        <w:rPr>
          <w:rStyle w:val="CharStyle12"/>
        </w:rPr>
        <w:t>рассмотрев дело №061/06/105-2657/2025 по жалобе ООО «МАРС СТРОЙ» о нарушении ГБУ РО «Центральная районная больница» в Сальском районе (далее — Заказчик) при проведении электронного аукциона №0358300086525000133 «Поставка, монтаж и оснащение модульного здания Юловской врачебной амбулатории с отделением сестринского ухода в рамках реализации государственной программы Ростовской области «Развитие здравоохранения» (далее — Аукцион) норм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Закон), путем использования системы видеоконференц-связи (ВКС) в присутствии представителя Заказчика – Шахматовой Е.А. (доверенность от 01.09.2025), в отсутствие представителя Заявителя, уведомленного надлежащим образом,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2"/>
          <w:b/>
          <w:bCs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60"/>
        <w:jc w:val="both"/>
      </w:pPr>
      <w:r>
        <w:rPr>
          <w:rStyle w:val="CharStyle12"/>
        </w:rPr>
        <w:t>В Ростовское УФАС России поступила жалоба Заявителя на действия ГБУ РО</w:t>
      </w:r>
    </w:p>
    <w:p>
      <w:pPr>
        <w:widowControl w:val="0"/>
        <w:spacing w:line="1" w:lineRule="exact"/>
      </w:pPr>
      <w:r>
        <w:drawing>
          <wp:anchor distT="0" distB="0" distL="0" distR="0" simplePos="0" relativeHeight="125829380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0</wp:posOffset>
            </wp:positionV>
            <wp:extent cx="1517650" cy="292735"/>
            <wp:wrapTopAndBottom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«Центральная районная больница» в Сальском районе. Заказчик в возражениях на жалобу: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отрицал нарушение Закона;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6" w:val="left"/>
        </w:tabs>
        <w:bidi w:val="0"/>
        <w:spacing w:before="0" w:after="260" w:line="240" w:lineRule="auto"/>
        <w:ind w:left="0" w:right="0" w:firstLine="720"/>
        <w:jc w:val="both"/>
      </w:pPr>
      <w:r>
        <w:rPr>
          <w:rStyle w:val="CharStyle12"/>
        </w:rPr>
        <w:t>представил пояснения по доводам жалобы.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 соответствии с ч.ч.1,3 ст.99 Закона в ходе рассмотрения дела установлено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Заказчиком в Единой информационной системе (ЕИС) на официальном сайте 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12"/>
          <w:u w:val="single"/>
          <w:lang w:val="en-US" w:eastAsia="en-US"/>
        </w:rPr>
        <w:t>www.zakupki.gov.ru</w:t>
      </w:r>
      <w:r>
        <w:fldChar w:fldCharType="end"/>
      </w:r>
      <w:r>
        <w:rPr>
          <w:rStyle w:val="CharStyle12"/>
          <w:lang w:val="en-US" w:eastAsia="en-US"/>
        </w:rPr>
        <w:t xml:space="preserve"> 19.08.2025 </w:t>
      </w:r>
      <w:r>
        <w:rPr>
          <w:rStyle w:val="CharStyle12"/>
        </w:rPr>
        <w:t xml:space="preserve">размещено извещение о проведении закупки </w:t>
      </w:r>
      <w:r>
        <w:rPr>
          <w:rStyle w:val="CharStyle12"/>
          <w:lang w:val="en-US" w:eastAsia="en-US"/>
        </w:rPr>
        <w:t xml:space="preserve">№0358300086525000133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Извещение), согласно которому: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установлены дата и время окончания подачи заявок </w:t>
      </w:r>
      <w:r>
        <w:rPr>
          <w:rStyle w:val="CharStyle12"/>
          <w:lang w:val="en-US" w:eastAsia="en-US"/>
        </w:rPr>
        <w:t xml:space="preserve">– 27.08.2025 10:00 </w:t>
      </w:r>
      <w:r>
        <w:rPr>
          <w:rStyle w:val="CharStyle12"/>
        </w:rPr>
        <w:t>(МСК);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6" w:val="left"/>
        </w:tabs>
        <w:bidi w:val="0"/>
        <w:spacing w:before="0" w:after="260" w:line="240" w:lineRule="auto"/>
        <w:ind w:left="0" w:right="0" w:firstLine="720"/>
        <w:jc w:val="both"/>
      </w:pPr>
      <w:r>
        <w:rPr>
          <w:rStyle w:val="CharStyle12"/>
        </w:rPr>
        <w:t xml:space="preserve">начальная (максимальная) цена контракта (НМЦК) составила </w:t>
      </w:r>
      <w:r>
        <w:rPr>
          <w:rStyle w:val="CharStyle12"/>
          <w:lang w:val="en-US" w:eastAsia="en-US"/>
        </w:rPr>
        <w:t xml:space="preserve">114 037 079,72 </w:t>
      </w:r>
      <w:r>
        <w:rPr>
          <w:rStyle w:val="CharStyle12"/>
        </w:rPr>
        <w:t>рублей.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Согласно доводу жалобы, Заказчиком неправомерно установлены дополнительные требования к участникам закупки в соответствии с ч.2 ст.31 Закона.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соответствии с п.12 ч.1 ст.42 Закона,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 частью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31 </w:t>
      </w:r>
      <w:r>
        <w:rPr>
          <w:rStyle w:val="CharStyle12"/>
        </w:rPr>
        <w:t xml:space="preserve">настоящего Федерального закона, требования предъявляемые к участникам закупки в соответствии с частями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2.1 </w:t>
      </w:r>
      <w:r>
        <w:rPr>
          <w:rStyle w:val="CharStyle12"/>
        </w:rPr>
        <w:t xml:space="preserve">(при наличии таких требований) статьи </w:t>
      </w:r>
      <w:r>
        <w:rPr>
          <w:rStyle w:val="CharStyle12"/>
          <w:lang w:val="en-US" w:eastAsia="en-US"/>
        </w:rPr>
        <w:t xml:space="preserve">31 </w:t>
      </w:r>
      <w:r>
        <w:rPr>
          <w:rStyle w:val="CharStyle12"/>
        </w:rPr>
        <w:t xml:space="preserve">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</w:t>
      </w:r>
      <w:r>
        <w:rPr>
          <w:rStyle w:val="CharStyle12"/>
          <w:lang w:val="en-US" w:eastAsia="en-US"/>
        </w:rPr>
        <w:t xml:space="preserve">1.1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31 </w:t>
      </w:r>
      <w:r>
        <w:rPr>
          <w:rStyle w:val="CharStyle12"/>
        </w:rPr>
        <w:t>настоящего Федерального закона (при наличии такого требования).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астью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>ст.31 Закона установлено, что 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дополнительные требования, в том числе к наличию: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3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финансовых ресурсов для исполнения контракта;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на праве собственности или ином законном основании оборудования и других материальных ресурсов для исполнения контракта;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опыта работы, связанного с предметом контракта, и деловой репутации;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необходимого количества специалистов и иных работников определенного уровня квалификации для исполнения контракта.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силу ч.4 ст.31 Закона, в случае установления Правительством Российской Федерации в соответствии с частью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>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Во исполнение указанных норм Закона Правительством РФ принято Постановление Правительства РФ от </w:t>
      </w:r>
      <w:r>
        <w:rPr>
          <w:rStyle w:val="CharStyle12"/>
          <w:lang w:val="en-US" w:eastAsia="en-US"/>
        </w:rPr>
        <w:t xml:space="preserve">29.12.2021 №2571 </w:t>
      </w:r>
      <w:r>
        <w:rPr>
          <w:rStyle w:val="CharStyle12"/>
        </w:rPr>
        <w:t xml:space="preserve">«О требованиях к участникам закупки товаров,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Постановление </w:t>
      </w:r>
      <w:r>
        <w:rPr>
          <w:rStyle w:val="CharStyle12"/>
          <w:lang w:val="en-US" w:eastAsia="en-US"/>
        </w:rPr>
        <w:t>№2571).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Пунктом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Постановления </w:t>
      </w:r>
      <w:r>
        <w:rPr>
          <w:rStyle w:val="CharStyle12"/>
          <w:lang w:val="en-US" w:eastAsia="en-US"/>
        </w:rPr>
        <w:t xml:space="preserve">№2571 </w:t>
      </w:r>
      <w:r>
        <w:rPr>
          <w:rStyle w:val="CharStyle12"/>
        </w:rPr>
        <w:t>определено, что к участникам закупки отдельных видов товаров, работ, услуг, участникам отдельных видов закупок товаров, работ, услуг предъявляются дополнительные требования согласно приложению. Соответствие участников закупки указанным дополнительным требованиям подтверждается информацией и документами, предусмотренными приложением к настоящему постановлению.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2"/>
        </w:rPr>
        <w:t xml:space="preserve">Согласно пп. «а» п.3 Постановления </w:t>
      </w:r>
      <w:r>
        <w:rPr>
          <w:rStyle w:val="CharStyle12"/>
          <w:lang w:val="en-US" w:eastAsia="en-US"/>
        </w:rPr>
        <w:t xml:space="preserve">№2571, </w:t>
      </w:r>
      <w:r>
        <w:rPr>
          <w:rStyle w:val="CharStyle12"/>
        </w:rPr>
        <w:t xml:space="preserve">положения настоящего постановления применяются при проведении конкурентных способов определения поставщиков (подрядчиков, исполнителей), при этом позиции </w:t>
      </w:r>
      <w:r>
        <w:rPr>
          <w:rStyle w:val="CharStyle12"/>
          <w:lang w:val="en-US" w:eastAsia="en-US"/>
        </w:rPr>
        <w:t xml:space="preserve">6 - 13, 17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18 </w:t>
      </w:r>
      <w:r>
        <w:rPr>
          <w:rStyle w:val="CharStyle12"/>
        </w:rPr>
        <w:t>приложения применяются в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 xml:space="preserve">случае, если при осуществлении закупки начальная (максимальная) цена контракта для обеспечения федеральных нужд превышает </w:t>
      </w:r>
      <w:r>
        <w:rPr>
          <w:rStyle w:val="CharStyle12"/>
          <w:lang w:val="en-US" w:eastAsia="en-US"/>
        </w:rPr>
        <w:t xml:space="preserve">10 </w:t>
      </w:r>
      <w:r>
        <w:rPr>
          <w:rStyle w:val="CharStyle12"/>
        </w:rPr>
        <w:t xml:space="preserve">млн. рублей, для обеспечения нужд субъектов Российской Федерации, муниципальных нужд </w:t>
      </w:r>
      <w:r>
        <w:rPr>
          <w:rStyle w:val="CharStyle12"/>
          <w:lang w:val="en-US" w:eastAsia="en-US"/>
        </w:rPr>
        <w:t xml:space="preserve">- 5 </w:t>
      </w:r>
      <w:r>
        <w:rPr>
          <w:rStyle w:val="CharStyle12"/>
        </w:rPr>
        <w:t>млн. рублей.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Пунктом </w:t>
      </w:r>
      <w:r>
        <w:rPr>
          <w:rStyle w:val="CharStyle12"/>
          <w:lang w:val="en-US" w:eastAsia="en-US"/>
        </w:rPr>
        <w:t xml:space="preserve">9 </w:t>
      </w:r>
      <w:r>
        <w:rPr>
          <w:rStyle w:val="CharStyle12"/>
        </w:rPr>
        <w:t xml:space="preserve">приложения к Постановлению </w:t>
      </w:r>
      <w:r>
        <w:rPr>
          <w:rStyle w:val="CharStyle12"/>
          <w:lang w:val="en-US" w:eastAsia="en-US"/>
        </w:rPr>
        <w:t xml:space="preserve">№2571 </w:t>
      </w:r>
      <w:r>
        <w:rPr>
          <w:rStyle w:val="CharStyle12"/>
        </w:rPr>
        <w:t>установлены дополнительные требования к участникам закупки при выполнении работ по строительству некапитального строения, сооружения (строений, сооружений), благоустройству территории: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наличие у участника закупки одного из следующих видов опыта выполнения работ: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опыт исполнения договора, предусматривающего выполнение работ по строительству некапитального строения, сооружения (строений, сооружений), благоустройству территории;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1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 (в том числе линейного объекта);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опыт выполнения участником закупки, являющимся застройщиком, работ по строительству, реконструкции объекта капитального строительства (в том числе линейного объекта).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Цена выполненных работ по договорам, предусмотренных пунктами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или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настоящей графы настоящей позиции, цена выполненных работ, предусмотренных пунктом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настоящей графы настоящей позиции, должна составлять не менее </w:t>
      </w:r>
      <w:r>
        <w:rPr>
          <w:rStyle w:val="CharStyle12"/>
          <w:lang w:val="en-US" w:eastAsia="en-US"/>
        </w:rPr>
        <w:t xml:space="preserve">20 </w:t>
      </w:r>
      <w:r>
        <w:rPr>
          <w:rStyle w:val="CharStyle12"/>
        </w:rPr>
        <w:t>процентов начальной (максимальной) цены контракта, заключаемого по результатам определения поставщика (подрядчика, исполнителя).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Предметом Аукциона является поставка, монтаж и оснащение модульного здания врачебной амбулатории. Начальная (максимальная) цена контракта составляет </w:t>
      </w:r>
      <w:r>
        <w:rPr>
          <w:rStyle w:val="CharStyle12"/>
          <w:lang w:val="en-US" w:eastAsia="en-US"/>
        </w:rPr>
        <w:t xml:space="preserve">114 037 079,72 </w:t>
      </w:r>
      <w:r>
        <w:rPr>
          <w:rStyle w:val="CharStyle12"/>
        </w:rPr>
        <w:t>рублей.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 соответствии с ч.10.2 ст.1 Градостроительного кодекса Российской Федерации некапитальные строения, сооружения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строения, сооружения, которые не имеют прочной связи с землей и конструктивные характеристики которых позволяют осуществить их перемещение и (или) демонтаж и последующую сборку без несоразмерного ущерба назначению и без изменения основных характеристик строений, сооружений (в том числе киосков, навесов и других подобных строений, сооружений).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Учитывая изложенное, модульное здание, в соответствии с Градостроительным кодексом Российской Федерации, относится к некапитальному строению, поскольку не имеет прочной связи с землей, а также конструктивные характеристики модульного здания позволяют осуществить его перемещение и (или) демонтаж и последующую сборку.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Аналогичная позиция изложена в письме Минстроя России от </w:t>
      </w:r>
      <w:r>
        <w:rPr>
          <w:rStyle w:val="CharStyle12"/>
          <w:lang w:val="en-US" w:eastAsia="en-US"/>
        </w:rPr>
        <w:t xml:space="preserve">23.01.2025 </w:t>
      </w:r>
      <w:r>
        <w:rPr>
          <w:rStyle w:val="CharStyle12"/>
        </w:rPr>
        <w:t>№3236-СМ/08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Комиссия Ростовского УФАС России установила, что в Извещении Заказчиком надлежащим образом применены положения Постановления </w:t>
      </w:r>
      <w:r>
        <w:rPr>
          <w:rStyle w:val="CharStyle12"/>
          <w:lang w:val="en-US" w:eastAsia="en-US"/>
        </w:rPr>
        <w:t xml:space="preserve">№2571, </w:t>
      </w:r>
      <w:r>
        <w:rPr>
          <w:rStyle w:val="CharStyle12"/>
        </w:rPr>
        <w:t xml:space="preserve">а именно, установлены дополнительные требования к участникам закупки, предусмотренные п.9 приложения к Постановлению </w:t>
      </w:r>
      <w:r>
        <w:rPr>
          <w:rStyle w:val="CharStyle12"/>
          <w:lang w:val="en-US" w:eastAsia="en-US"/>
        </w:rPr>
        <w:t>№2571.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2"/>
        </w:rPr>
        <w:t>Таким образом, Заказчиком соблюдены положения ч.2 ст.31 Закона, довод жалобы признан необоснованным.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2"/>
        </w:rPr>
        <w:t>В рамках проведения в соответствии с ч.15 ст.99 Закона внеплановой проверки Комиссией Ростовского УФАС России установлено следующее.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8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 соответствии с ч.2 ст.42 Закона,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0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описание объекта закупки в соответствии со статьей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>настоящего Федерального закона;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10" w:val="left"/>
        </w:tabs>
        <w:bidi w:val="0"/>
        <w:spacing w:before="0" w:after="260" w:line="240" w:lineRule="auto"/>
        <w:ind w:left="0" w:right="0" w:firstLine="720"/>
        <w:jc w:val="both"/>
      </w:pPr>
      <w:r>
        <w:rPr>
          <w:rStyle w:val="CharStyle12"/>
        </w:rPr>
        <w:t>требования к содержанию, составу заявки на участие в закупке в соответствии с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rStyle w:val="CharStyle12"/>
        </w:rPr>
        <w:t>В силу ч.1 ст.33 Закона, заказчик в случаях, предусмотренных настоящим Федеральным законом, при описании объекта закупки должен руководствоваться следующими правилами:</w:t>
      </w:r>
    </w:p>
    <w:p>
      <w:pPr>
        <w:pStyle w:val="Style11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800"/>
        <w:jc w:val="both"/>
      </w:pPr>
      <w:r>
        <w:rPr>
          <w:rStyle w:val="CharStyle12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 полезных моделей, промышленных образцов, наименование страны происхождения товара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закупки;</w:t>
      </w:r>
    </w:p>
    <w:p>
      <w:pPr>
        <w:pStyle w:val="Style11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38" w:val="left"/>
        </w:tabs>
        <w:bidi w:val="0"/>
        <w:spacing w:before="0" w:after="0" w:line="240" w:lineRule="auto"/>
        <w:ind w:left="0" w:right="0" w:firstLine="800"/>
        <w:jc w:val="both"/>
      </w:pPr>
      <w:r>
        <w:rPr>
          <w:rStyle w:val="CharStyle12"/>
        </w:rPr>
        <w:t>использование при составлении описания объекта закупки показателей, требований условных обозначений и терминологии, касающихся технических характеристик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rStyle w:val="CharStyle12"/>
        </w:rPr>
        <w:t xml:space="preserve">Согласно п./п.а) п.2 ч.1 ст.43 Закона, для участия в конкурентном способе заявка на участие в закупке, если иное не предусмотрено настоящим Федеральным законом, должна содержать предложение участника закупки </w:t>
      </w:r>
      <w:r>
        <w:rPr>
          <w:rStyle w:val="CharStyle12"/>
          <w:u w:val="single"/>
        </w:rPr>
        <w:t>в отношении объекта закупки</w:t>
      </w:r>
      <w:r>
        <w:rPr>
          <w:rStyle w:val="CharStyle12"/>
        </w:rPr>
        <w:t xml:space="preserve"> с учетом положений части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настоящей статьи характеристики предлагаемого участником закупки товара соответствующие показателям, установленным в описании объекта закупки в соответствии с частью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>настоящего Федерального закона, товарный знак (при наличии у товара товарного знака).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92" w:right="0" w:firstLine="0"/>
        <w:jc w:val="left"/>
      </w:pPr>
      <w:r>
        <w:rPr>
          <w:rStyle w:val="CharStyle20"/>
        </w:rPr>
        <w:t>В Извещении Заказчиком установлены характеристики закупаемого товара, например:</w:t>
      </w:r>
    </w:p>
    <w:tbl>
      <w:tblPr>
        <w:tblOverlap w:val="never"/>
        <w:jc w:val="center"/>
        <w:tblLayout w:type="fixed"/>
      </w:tblPr>
      <w:tblGrid>
        <w:gridCol w:w="3614"/>
        <w:gridCol w:w="6475"/>
      </w:tblGrid>
      <w:tr>
        <w:trPr>
          <w:trHeight w:val="57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  <w:b/>
                <w:bCs/>
              </w:rPr>
              <w:t>Наименование характеристики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2"/>
                <w:b/>
                <w:bCs/>
              </w:rPr>
              <w:t>Значение характеристики</w:t>
            </w:r>
          </w:p>
        </w:tc>
      </w:tr>
      <w:tr>
        <w:trPr>
          <w:trHeight w:val="3883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22"/>
              </w:rPr>
              <w:t>Требования к документации, передаваемой с комплектом модульного здания Юловской врачебной амбулатории с отделением сестринского ухода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22"/>
              </w:rPr>
              <w:t>С комплектом модульного здания должны быть переданы следующие документы: сертификат (декларация) соответствия на здание; сертификат соответствия пожарной безопасности; сертификат, подтверждающий степень огнестойкости блок-модулей; сопроводительная документация на здание, включая: паспорт на модульное здание с приложением плана модуля, схем по инженерным сетям ОВ (отопление и вентиляция) и ВК (водоснабжение и канализация), ЭМ (электрооборудование), ЭО (электроснабжение и освещение), проект АПС (автоматической пожарной сигнализации) с приемо</w:t>
              <w:softHyphen/>
              <w:t>сдаточными документами, ПС (пояснительная записка), руководство по эксплуатации модульного здания. сертификаты на используемые материалы. Документы по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3619"/>
        <w:gridCol w:w="6470"/>
      </w:tblGrid>
      <w:tr>
        <w:trPr>
          <w:trHeight w:val="167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rStyle w:val="CharStyle22"/>
              </w:rPr>
              <w:t>гарантийным обязательствам. Протоколы проверки лабораторных испытаний состояния изоляции электропроводки и заземляющего контура. Документы качества и регистрационные (разрешительные) документы, документы по гарантийным обязательствам на поставляемый товар</w:t>
            </w:r>
          </w:p>
        </w:tc>
      </w:tr>
    </w:tbl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rStyle w:val="CharStyle12"/>
        </w:rPr>
        <w:t>Вместе с тем, требования к документации, передаваемой с комплектом модульного здания являются, фактически, требованиями к товару, не являющемуся объектом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800"/>
        <w:jc w:val="both"/>
      </w:pPr>
      <w:r>
        <w:rPr>
          <w:rStyle w:val="CharStyle12"/>
        </w:rPr>
        <w:t>Требование Заказчика об указании в заявке характеристик товара, не являющегося объектом закупки, например, документации, передаваемой с комплектом модульного здания не соответствует положениям ст.43 Закона, и установлено в нарушение ч.2 ст.42 Закона.</w:t>
      </w:r>
    </w:p>
    <w:p>
      <w:pPr>
        <w:pStyle w:val="Style11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75" w:val="left"/>
        </w:tabs>
        <w:bidi w:val="0"/>
        <w:spacing w:before="0" w:after="0" w:line="240" w:lineRule="auto"/>
        <w:ind w:left="0" w:right="0" w:firstLine="800"/>
        <w:jc w:val="both"/>
      </w:pPr>
      <w:r>
        <w:rPr>
          <w:rStyle w:val="CharStyle12"/>
        </w:rPr>
        <w:t>Требования к содержанию заявки на участие в конкурентном способе установлены в ст.43 Закона, среди которых:</w:t>
      </w:r>
    </w:p>
    <w:p>
      <w:pPr>
        <w:pStyle w:val="Style11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80" w:val="left"/>
        </w:tabs>
        <w:bidi w:val="0"/>
        <w:spacing w:before="0" w:after="0" w:line="240" w:lineRule="auto"/>
        <w:ind w:left="0" w:right="0" w:firstLine="800"/>
        <w:jc w:val="both"/>
      </w:pPr>
      <w:r>
        <w:rPr>
          <w:rStyle w:val="CharStyle12"/>
        </w:rPr>
        <w:t>информация и документы об участнике закупки:</w:t>
      </w:r>
    </w:p>
    <w:p>
      <w:pPr>
        <w:pStyle w:val="Style11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71" w:val="left"/>
        </w:tabs>
        <w:bidi w:val="0"/>
        <w:spacing w:before="0" w:after="0" w:line="240" w:lineRule="auto"/>
        <w:ind w:left="0" w:right="0" w:firstLine="800"/>
        <w:jc w:val="both"/>
      </w:pPr>
      <w:r>
        <w:rPr>
          <w:rStyle w:val="CharStyle12"/>
        </w:rPr>
        <w:t>предложение участника закупки в отношении объекта закупки:</w:t>
      </w:r>
    </w:p>
    <w:p>
      <w:pPr>
        <w:pStyle w:val="Style11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81" w:val="left"/>
        </w:tabs>
        <w:bidi w:val="0"/>
        <w:spacing w:before="0" w:after="0" w:line="240" w:lineRule="auto"/>
        <w:ind w:left="0" w:right="0" w:firstLine="800"/>
        <w:jc w:val="both"/>
      </w:pPr>
      <w:r>
        <w:rPr>
          <w:rStyle w:val="CharStyle12"/>
        </w:rPr>
        <w:t xml:space="preserve">предложение участника закупки о цене контракта (за исключением случая предусмотренного пунктом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>настоящей части);</w:t>
      </w:r>
    </w:p>
    <w:p>
      <w:pPr>
        <w:pStyle w:val="Style11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81" w:val="left"/>
        </w:tabs>
        <w:bidi w:val="0"/>
        <w:spacing w:before="0" w:after="0" w:line="240" w:lineRule="auto"/>
        <w:ind w:left="0" w:right="0" w:firstLine="800"/>
        <w:jc w:val="both"/>
      </w:pPr>
      <w:r>
        <w:rPr>
          <w:rStyle w:val="CharStyle12"/>
        </w:rPr>
        <w:t xml:space="preserve">предложение участника закупки о сумме цен единиц товара, работы, услуги (в случае предусмотренном частью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22 </w:t>
      </w:r>
      <w:r>
        <w:rPr>
          <w:rStyle w:val="CharStyle12"/>
        </w:rPr>
        <w:t>настоящего Федерального закона);</w:t>
      </w:r>
    </w:p>
    <w:p>
      <w:pPr>
        <w:pStyle w:val="Style11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81" w:val="left"/>
        </w:tabs>
        <w:bidi w:val="0"/>
        <w:spacing w:before="0" w:after="0" w:line="240" w:lineRule="auto"/>
        <w:ind w:left="0" w:right="0" w:firstLine="800"/>
        <w:jc w:val="both"/>
      </w:pPr>
      <w:r>
        <w:rPr>
          <w:rStyle w:val="CharStyle12"/>
        </w:rPr>
        <w:t xml:space="preserve">информация и документы, предусмотренные нормативными правовыми актами принятыми в соответствии с частями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14 </w:t>
      </w:r>
      <w:r>
        <w:rPr>
          <w:rStyle w:val="CharStyle12"/>
        </w:rPr>
        <w:t>настоящего Федерального закона (в случае, если в извещении об осуществлении закупки, документации о закупке (если настоящим Федеральным законом предусмотрена документация о закупке) установлены предусмотренные указанной статьей запреты, ограничения, условия допуска).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 происходящих из иностранного государства или группы иностранных государств, работ, услуг соответственно выполняемых, оказываемых иностранными лицами.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rStyle w:val="CharStyle12"/>
        </w:rPr>
        <w:t xml:space="preserve">При этом, статьей </w:t>
      </w:r>
      <w:r>
        <w:rPr>
          <w:rStyle w:val="CharStyle12"/>
          <w:lang w:val="en-US" w:eastAsia="en-US"/>
        </w:rPr>
        <w:t xml:space="preserve">49 </w:t>
      </w:r>
      <w:r>
        <w:rPr>
          <w:rStyle w:val="CharStyle12"/>
        </w:rPr>
        <w:t xml:space="preserve">Закона определен порядок проведения электронного аукциона содержание заявки на участие в указанном конкурентном способе (ч.1 ст.49 Закона), согласно которому заявка на участие в закупке должна содержать информацию и документы предусмотренные подпунктами "м"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"п" пункта </w:t>
      </w:r>
      <w:r>
        <w:rPr>
          <w:rStyle w:val="CharStyle12"/>
          <w:lang w:val="en-US" w:eastAsia="en-US"/>
        </w:rPr>
        <w:t xml:space="preserve">1, </w:t>
      </w:r>
      <w:r>
        <w:rPr>
          <w:rStyle w:val="CharStyle12"/>
        </w:rPr>
        <w:t xml:space="preserve">подпунктами "а"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"в" пункта </w:t>
      </w:r>
      <w:r>
        <w:rPr>
          <w:rStyle w:val="CharStyle12"/>
          <w:lang w:val="en-US" w:eastAsia="en-US"/>
        </w:rPr>
        <w:t xml:space="preserve">2, </w:t>
      </w:r>
      <w:r>
        <w:rPr>
          <w:rStyle w:val="CharStyle12"/>
        </w:rPr>
        <w:t xml:space="preserve">пунктом </w:t>
      </w:r>
      <w:r>
        <w:rPr>
          <w:rStyle w:val="CharStyle12"/>
          <w:lang w:val="en-US" w:eastAsia="en-US"/>
        </w:rPr>
        <w:t xml:space="preserve">5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43 </w:t>
      </w:r>
      <w:r>
        <w:rPr>
          <w:rStyle w:val="CharStyle12"/>
        </w:rPr>
        <w:t xml:space="preserve">Закона. Заявка также может содержать информацию и документы предусмотренные подпунктом "д" пункта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статьи </w:t>
      </w:r>
      <w:r>
        <w:rPr>
          <w:rStyle w:val="CharStyle12"/>
          <w:lang w:val="en-US" w:eastAsia="en-US"/>
        </w:rPr>
        <w:t xml:space="preserve">43 </w:t>
      </w:r>
      <w:r>
        <w:rPr>
          <w:rStyle w:val="CharStyle12"/>
        </w:rPr>
        <w:t>Закона.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rStyle w:val="CharStyle12"/>
        </w:rPr>
        <w:t>Таким образом, при определении поставщика (подрядчика, исполнителя) путем применения открытых конкурентных способов заказчику необходимо руководствоваться общими положениями к содержанию заявки с учетом специальных норм для конкретного способа.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00"/>
        <w:jc w:val="both"/>
      </w:pPr>
      <w:r>
        <w:rPr>
          <w:rStyle w:val="CharStyle12"/>
        </w:rPr>
        <w:t xml:space="preserve">Согласно установленным Заказчиком требованиям к содержанию, составу заявки на участие в закупке, в составе заявки участнику необходимо предоставить, помимо прочего: </w:t>
      </w:r>
      <w:r>
        <w:rPr>
          <w:rStyle w:val="CharStyle12"/>
          <w:i/>
          <w:iCs/>
          <w:lang w:val="en-US" w:eastAsia="en-US"/>
        </w:rPr>
        <w:t xml:space="preserve">«3) </w:t>
      </w:r>
      <w:r>
        <w:rPr>
          <w:rStyle w:val="CharStyle12"/>
          <w:i/>
          <w:iCs/>
        </w:rPr>
        <w:t>предложение участника закупки о цене контракта»</w:t>
      </w:r>
      <w:r>
        <w:rPr>
          <w:rStyle w:val="CharStyle12"/>
        </w:rPr>
        <w:t>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800"/>
        <w:jc w:val="both"/>
      </w:pPr>
      <w:r>
        <w:rPr>
          <w:rStyle w:val="CharStyle12"/>
        </w:rPr>
        <w:t>Таким образом, Заказчиком установлены требования к содержанию и составу заявки о предоставлении участником закупки в составе заявки вышеуказанного предложения в нарушение ч.1 ст.49 Закона.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800"/>
        <w:jc w:val="both"/>
      </w:pPr>
      <w:r>
        <w:rPr>
          <w:rStyle w:val="CharStyle12"/>
        </w:rPr>
        <w:t>Комиссия Ростовского УФАС России не выдает предписание об устранении выявленного нарушения Закона, поскольку оно не повлияло на результат определения поставщика, в том числе, не послужило основанием для отклонения заявок.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2"/>
        </w:rPr>
        <w:t xml:space="preserve">На основании Постановления Правительства РФ от 26.08.2013г. </w:t>
      </w:r>
      <w:r>
        <w:rPr>
          <w:rStyle w:val="CharStyle12"/>
          <w:lang w:val="en-US" w:eastAsia="en-US"/>
        </w:rPr>
        <w:t xml:space="preserve">№728, </w:t>
      </w:r>
      <w:r>
        <w:rPr>
          <w:rStyle w:val="CharStyle12"/>
        </w:rPr>
        <w:t>в соответствии с ч.15 ст.99, ч.8 ст.106 Закона,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РЕШИЛА:</w:t>
      </w:r>
    </w:p>
    <w:p>
      <w:pPr>
        <w:pStyle w:val="Style11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11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Признать жалобу ООО «МАРС СТРОЙ» необоснованной.</w:t>
      </w:r>
    </w:p>
    <w:p>
      <w:pPr>
        <w:pStyle w:val="Style11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Признать Заказчика нарушившим ч.2 ст.42, ч.1 ст.49 Закона.</w:t>
      </w:r>
    </w:p>
    <w:p>
      <w:pPr>
        <w:pStyle w:val="Style11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Предписание об устранении нарушений Закона не выдавать, поскольку выявленные нарушения не повлияли на результат определения поставщика.</w:t>
      </w:r>
    </w:p>
    <w:p>
      <w:pPr>
        <w:pStyle w:val="Style11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93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rStyle w:val="CharStyle12"/>
        </w:rPr>
        <w:t>Рассмотреть вопрос о привлечении виновного должностного лица Заказчика к административной ответственности.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720"/>
        <w:jc w:val="both"/>
      </w:pPr>
      <w:r>
        <w:rPr>
          <w:rStyle w:val="CharStyle12"/>
        </w:rPr>
        <w:t>Решение может быть обжаловано в судебном порядке в течение трех месяцев со дня его принятия.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Председатель комиссии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220" w:line="240" w:lineRule="auto"/>
        <w:ind w:left="0" w:right="0" w:firstLine="0"/>
        <w:jc w:val="right"/>
      </w:pPr>
      <w:r>
        <w:rPr>
          <w:rStyle w:val="CharStyle12"/>
        </w:rPr>
        <w:t>С.В. Батурин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right"/>
      </w:pPr>
      <w:r>
        <w:drawing>
          <wp:anchor distT="0" distB="0" distL="114300" distR="1900555" simplePos="0" relativeHeight="125829381" behindDoc="0" locked="0" layoutInCell="1" allowOverlap="1">
            <wp:simplePos x="0" y="0"/>
            <wp:positionH relativeFrom="page">
              <wp:posOffset>2644775</wp:posOffset>
            </wp:positionH>
            <wp:positionV relativeFrom="paragraph">
              <wp:posOffset>50800</wp:posOffset>
            </wp:positionV>
            <wp:extent cx="359410" cy="524510"/>
            <wp:wrapSquare wrapText="right"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3105150</wp:posOffset>
                </wp:positionH>
                <wp:positionV relativeFrom="paragraph">
                  <wp:posOffset>455930</wp:posOffset>
                </wp:positionV>
                <wp:extent cx="1283335" cy="100330"/>
                <wp:wrapNone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6"/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44.5pt;margin-top:35.899999999999999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6"/>
                          <w:rFonts w:ascii="Times New Roman" w:eastAsia="Times New Roman" w:hAnsi="Times New Roman" w:cs="Times New Roman"/>
                          <w:b/>
                          <w:bCs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3065145</wp:posOffset>
                </wp:positionH>
                <wp:positionV relativeFrom="paragraph">
                  <wp:posOffset>139065</wp:posOffset>
                </wp:positionV>
                <wp:extent cx="1722120" cy="259080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41.34999999999999pt;margin-top:10.95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В.Д. Кириленко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  <w:sz w:val="11"/>
          <w:szCs w:val="11"/>
        </w:rPr>
        <w:t>Кириленко Вероника Дмитриевна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lang w:val="en-US" w:eastAsia="en-US"/>
        </w:rPr>
        <w:t>008F6F627FB2BEB58248AB0EBDBAC5AE9</w:t>
      </w:r>
      <w:r>
        <w:rPr>
          <w:rStyle w:val="CharStyle26"/>
          <w:lang w:val="en-US" w:eastAsia="en-US"/>
        </w:rPr>
        <w:t>'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6168390</wp:posOffset>
                </wp:positionH>
                <wp:positionV relativeFrom="paragraph">
                  <wp:posOffset>342900</wp:posOffset>
                </wp:positionV>
                <wp:extent cx="1009015" cy="225425"/>
                <wp:wrapSquare wrapText="left"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901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С.В. Панченко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485.69999999999999pt;margin-top:27.pt;width:79.450000000000003pt;height:17.75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С.В. Панченко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26"/>
        </w:rPr>
        <w:t xml:space="preserve">Действителен с 04.02.2025 </w:t>
      </w:r>
      <w:r>
        <w:rPr>
          <w:rStyle w:val="CharStyle26"/>
          <w:color w:val="5E5E5E"/>
        </w:rPr>
        <w:t xml:space="preserve">по </w:t>
      </w:r>
      <w:r>
        <w:rPr>
          <w:rStyle w:val="CharStyle26"/>
        </w:rPr>
        <w:t>30.04.2026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right="0"/>
        <w:jc w:val="left"/>
      </w:pPr>
      <w:r>
        <w:rPr>
          <w:rStyle w:val="CharStyle31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3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rStyle w:val="CharStyle33"/>
          <w:b/>
          <w:bCs/>
          <w:color w:val="FFFFFF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26"/>
        </w:rPr>
        <w:t xml:space="preserve">Кому выдан: </w:t>
      </w:r>
      <w:r>
        <w:rPr>
          <w:rStyle w:val="CharStyle26"/>
          <w:color w:val="000000"/>
          <w:sz w:val="11"/>
          <w:szCs w:val="11"/>
        </w:rPr>
        <w:t>Панченко София Викторовна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26"/>
        </w:rPr>
        <w:t xml:space="preserve">Сертификат </w:t>
      </w:r>
      <w:r>
        <w:rPr>
          <w:rStyle w:val="CharStyle26"/>
          <w:color w:val="292929"/>
        </w:rPr>
        <w:t xml:space="preserve">№ </w:t>
      </w:r>
      <w:r>
        <w:rPr>
          <w:rStyle w:val="CharStyle26"/>
          <w:lang w:val="en-US" w:eastAsia="en-US"/>
        </w:rPr>
        <w:t>00B7D5B5B366DD0E393EA4A143AB8B0B4</w:t>
      </w:r>
      <w:r>
        <w:rPr>
          <w:rStyle w:val="CharStyle26"/>
          <w:lang w:val="en-US" w:eastAsia="en-US"/>
        </w:rPr>
        <w:t>E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3660" w:line="240" w:lineRule="auto"/>
        <w:ind w:right="0" w:firstLine="0"/>
        <w:jc w:val="left"/>
      </w:pPr>
      <w:r>
        <w:rPr>
          <w:rStyle w:val="CharStyle26"/>
        </w:rPr>
        <w:t xml:space="preserve">Действителен с 04.04.2025 </w:t>
      </w:r>
      <w:r>
        <w:rPr>
          <w:rStyle w:val="CharStyle26"/>
          <w:color w:val="5E5E5E"/>
        </w:rPr>
        <w:t xml:space="preserve">по </w:t>
      </w:r>
      <w:r>
        <w:rPr>
          <w:rStyle w:val="CharStyle26"/>
        </w:rPr>
        <w:t>28.06.2026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2"/>
          <w:sz w:val="22"/>
          <w:szCs w:val="22"/>
        </w:rPr>
        <w:t>Исп.Панченко С.В тел.240-86-88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512" w:right="515" w:bottom="1280" w:left="1050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718820</wp:posOffset>
              </wp:positionH>
              <wp:positionV relativeFrom="page">
                <wp:posOffset>10070465</wp:posOffset>
              </wp:positionV>
              <wp:extent cx="6470650" cy="10985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7065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19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2025-14503</w:t>
                            <w:tab/>
                          </w: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6.600000000000001pt;margin-top:792.95000000000005pt;width:509.5pt;height:8.65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19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2025-14503</w:t>
                      <w:tab/>
                    </w: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9851390</wp:posOffset>
              </wp:positionV>
              <wp:extent cx="722630" cy="10985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2025-14503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25pt;margin-top:775.70000000000005pt;width:56.899999999999999pt;height:8.6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2025-14503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3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1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1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7"/>
      <w:sz w:val="16"/>
      <w:szCs w:val="16"/>
      <w:u w:val="none"/>
    </w:rPr>
  </w:style>
  <w:style w:type="character" w:customStyle="1" w:styleId="CharStyle9">
    <w:name w:val="Body text (5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7"/>
      <w:sz w:val="19"/>
      <w:szCs w:val="19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6">
    <w:name w:val="Picture caption_"/>
    <w:basedOn w:val="DefaultParagraphFont"/>
    <w:link w:val="Style1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0">
    <w:name w:val="Table caption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2">
    <w:name w:val="Other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6">
    <w:name w:val="Body text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31">
    <w:name w:val="Body text (4)_"/>
    <w:basedOn w:val="DefaultParagraphFont"/>
    <w:link w:val="Style3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33">
    <w:name w:val="Body text (6)_"/>
    <w:basedOn w:val="DefaultParagraphFont"/>
    <w:link w:val="Style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70" w:line="283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7"/>
      <w:sz w:val="16"/>
      <w:szCs w:val="16"/>
      <w:u w:val="none"/>
    </w:rPr>
  </w:style>
  <w:style w:type="paragraph" w:customStyle="1" w:styleId="Style8">
    <w:name w:val="Body text (5)"/>
    <w:basedOn w:val="Normal"/>
    <w:link w:val="CharStyle9"/>
    <w:pPr>
      <w:widowControl w:val="0"/>
      <w:shd w:val="clear" w:color="auto" w:fill="auto"/>
      <w:spacing w:after="200" w:line="259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7"/>
      <w:sz w:val="19"/>
      <w:szCs w:val="19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5">
    <w:name w:val="Picture caption"/>
    <w:basedOn w:val="Normal"/>
    <w:link w:val="CharStyle16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9">
    <w:name w:val="Table caption"/>
    <w:basedOn w:val="Normal"/>
    <w:link w:val="CharStyle2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1">
    <w:name w:val="Other"/>
    <w:basedOn w:val="Normal"/>
    <w:link w:val="CharStyle22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5">
    <w:name w:val="Body text (2)"/>
    <w:basedOn w:val="Normal"/>
    <w:link w:val="CharStyle26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30">
    <w:name w:val="Body text (4)"/>
    <w:basedOn w:val="Normal"/>
    <w:link w:val="CharStyle31"/>
    <w:pPr>
      <w:widowControl w:val="0"/>
      <w:shd w:val="clear" w:color="auto" w:fill="auto"/>
      <w:spacing w:after="100"/>
      <w:ind w:left="3740" w:firstLine="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32">
    <w:name w:val="Body text (6)"/>
    <w:basedOn w:val="Normal"/>
    <w:link w:val="CharStyle33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png"/><Relationship Id="rId10" Type="http://schemas.openxmlformats.org/officeDocument/2006/relationships/image" Target="media/image2.pn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