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/>
        <w:ind w:left="0" w:right="0" w:firstLine="0"/>
        <w:jc w:val="center"/>
      </w:pPr>
      <w:r>
        <w:rPr>
          <w:rStyle w:val="CharStyle9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</w:rPr>
        <w:t xml:space="preserve">На №  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ИП Мельников С.Г.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1"/>
        </w:rPr>
        <w:t xml:space="preserve">ул. Маршала Борзова, д. 101, кв. 41, г. Калининград, Калининградская обл., 236028 </w:t>
      </w:r>
      <w:r>
        <w:fldChar w:fldCharType="begin"/>
      </w:r>
      <w:r>
        <w:rPr/>
        <w:instrText> HYPERLINK "mailto:medrepair@bk.ru" </w:instrText>
      </w:r>
      <w:r>
        <w:fldChar w:fldCharType="separate"/>
      </w:r>
      <w:r>
        <w:rPr>
          <w:rStyle w:val="CharStyle11"/>
          <w:lang w:val="en-US" w:eastAsia="en-US"/>
        </w:rPr>
        <w:t>medrepair@bk.ru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КГБУЗ «Красноярский краевой центр охраны материнства и детства № 2» пр-кт Лапенкова, стр. 17, к. 1, г. Ачинск,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 xml:space="preserve">Красноярский край, 662161 </w:t>
      </w:r>
      <w:r>
        <w:fldChar w:fldCharType="begin"/>
      </w:r>
      <w:r>
        <w:rPr/>
        <w:instrText> HYPERLINK "mailto:yurist-gdb@mail.ru" </w:instrText>
      </w:r>
      <w:r>
        <w:fldChar w:fldCharType="separate"/>
      </w:r>
      <w:r>
        <w:rPr>
          <w:rStyle w:val="CharStyle11"/>
          <w:lang w:val="en-US" w:eastAsia="en-US"/>
        </w:rPr>
        <w:t>yurist-gdb@mail.ru</w:t>
      </w:r>
      <w:r>
        <w:fldChar w:fldCharType="end"/>
      </w:r>
      <w:r>
        <w:rPr>
          <w:rStyle w:val="CharStyle11"/>
          <w:lang w:val="en-US" w:eastAsia="en-US"/>
        </w:rPr>
        <w:t>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"mailto:muz-gdb@mail.ru" </w:instrText>
      </w:r>
      <w:r>
        <w:fldChar w:fldCharType="separate"/>
      </w:r>
      <w:r>
        <w:rPr>
          <w:rStyle w:val="CharStyle11"/>
          <w:lang w:val="en-US" w:eastAsia="en-US"/>
        </w:rPr>
        <w:t>muz-gdb@mail.ru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 xml:space="preserve">Агентство государственного заказа Красноярского края пр-т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1"/>
          <w:lang w:val="en-US" w:eastAsia="en-US"/>
        </w:rPr>
        <w:t>agz_priem@mail.ru</w:t>
      </w:r>
      <w:r>
        <w:fldChar w:fldCharType="end"/>
      </w:r>
      <w:r>
        <w:rPr>
          <w:rStyle w:val="CharStyle11"/>
          <w:lang w:val="en-US" w:eastAsia="en-US"/>
        </w:rPr>
        <w:t>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"mailto:agz_golovkina@mail.ru" </w:instrText>
      </w:r>
      <w:r>
        <w:fldChar w:fldCharType="separate"/>
      </w:r>
      <w:r>
        <w:rPr>
          <w:rStyle w:val="CharStyle11"/>
          <w:lang w:val="en-US" w:eastAsia="en-US"/>
        </w:rPr>
        <w:t>agz_golovkina@mail.ru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266" w:bottom="1212" w:left="1135" w:header="0" w:footer="3" w:gutter="0"/>
          <w:pgNumType w:start="1"/>
          <w:cols w:num="2" w:space="1042"/>
          <w:noEndnote/>
          <w:titlePg/>
          <w:rtlGutter w:val="0"/>
          <w:docGrid w:linePitch="360"/>
        </w:sectPr>
      </w:pPr>
      <w:r>
        <w:rPr>
          <w:rStyle w:val="CharStyle11"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1"/>
          <w:lang w:val="en-US" w:eastAsia="en-US"/>
        </w:rPr>
        <w:t>ko@sberbank-ast.ru</w:t>
      </w:r>
      <w:r>
        <w:fldChar w:fldCharType="end"/>
      </w:r>
      <w:r>
        <w:rPr>
          <w:rStyle w:val="CharStyle11"/>
          <w:lang w:val="en-US" w:eastAsia="en-US"/>
        </w:rPr>
        <w:t xml:space="preserve">; </w:t>
      </w:r>
      <w:r>
        <w:fldChar w:fldCharType="begin"/>
      </w:r>
      <w:r>
        <w:rPr/>
        <w:instrText> HYPERLINK "mailto:nmsmolin@sberbank-ast.ru" </w:instrText>
      </w:r>
      <w:r>
        <w:fldChar w:fldCharType="separate"/>
      </w:r>
      <w:r>
        <w:rPr>
          <w:rStyle w:val="CharStyle11"/>
          <w:lang w:val="en-US" w:eastAsia="en-US"/>
        </w:rPr>
        <w:t>nmsmolin@sberbank-ast.ru</w:t>
      </w:r>
      <w:r>
        <w:fldChar w:fldCharType="end"/>
      </w:r>
    </w:p>
    <w:p>
      <w:pPr>
        <w:widowControl w:val="0"/>
        <w:spacing w:before="90" w:after="9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7" w:right="0" w:bottom="11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6219190</wp:posOffset>
                </wp:positionH>
                <wp:positionV relativeFrom="paragraph">
                  <wp:posOffset>190500</wp:posOffset>
                </wp:positionV>
                <wp:extent cx="981710" cy="23495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89.69999999999999pt;margin-top:15.pt;width:77.299999999999997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Решение № 024/06/106-2533/2025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1"/>
        </w:rPr>
        <w:t>3 сентября 2025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Комиссия Красноярского УФАС России по контролю в сфере закупок в составе: Председатель Комиссии – М.А. Дударева, заместитель руководителя, члены Комиссии: К.С. Варава, заместитель начальника отдела, А.Р. Мулагалеев, старший государственный инспектор (далее – Комиссия), рассмотрев жалобу ИП Мельникова С.Г. (далее – податель жалобы) на действия заказчика – КГБУЗ «Красноярский краевой центр охраны материнства и детства № 2» (далее – заказчик), уполномоченного органа — Агентства государственного заказа Красноярского края (далее — уполномоченный орган) при проведении электронного аукциона ЭА-№-16139/25 «На право поставки реагентов диагностических для гематологического анализатора </w:t>
      </w:r>
      <w:r>
        <w:rPr>
          <w:rStyle w:val="CharStyle11"/>
          <w:lang w:val="en-US" w:eastAsia="en-US"/>
        </w:rPr>
        <w:t xml:space="preserve">Sysmex XN </w:t>
      </w:r>
      <w:r>
        <w:rPr>
          <w:rStyle w:val="CharStyle11"/>
        </w:rPr>
        <w:t>(лот №3) субъектами малого предпринимательства, социально ориентированными» (далее – аукцион), извещение № 0119200000125016117, на электронной торговой площадке АО «Сбербанк- АСТ» (далее – оператор электронной площадки),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1"/>
        </w:rPr>
        <w:t>Существо жалобы: нарушение Заказчиком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формировании Извещения.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3"/>
        </w:rPr>
        <w:t>IIIIIIIIIIIIIIIIIIIIIIII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Жалоба соответствовала требованиям части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105 </w:t>
      </w:r>
      <w:r>
        <w:rPr>
          <w:rStyle w:val="CharStyle11"/>
        </w:rPr>
        <w:t>указанного закона, в связи с чем, была принята к рассмотрению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адреса Подателя жалобы, Заказчика, Уполномоченного органа, оператора ЭП было направлено уведомление о содержании жалобы с информацией о месте и времени заседания Комиссии.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Заказчику, Уполномоченному органу, Оператору ЭП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Заседание Комиссии состоялось </w:t>
      </w:r>
      <w:r>
        <w:rPr>
          <w:rStyle w:val="CharStyle11"/>
          <w:lang w:val="en-US" w:eastAsia="en-US"/>
        </w:rPr>
        <w:t xml:space="preserve">03.09.2025 </w:t>
      </w:r>
      <w:r>
        <w:rPr>
          <w:rStyle w:val="CharStyle11"/>
        </w:rPr>
        <w:t xml:space="preserve">в </w:t>
      </w:r>
      <w:r>
        <w:rPr>
          <w:rStyle w:val="CharStyle11"/>
          <w:lang w:val="en-US" w:eastAsia="en-US"/>
        </w:rPr>
        <w:t xml:space="preserve">10:30 </w:t>
      </w:r>
      <w:r>
        <w:rPr>
          <w:rStyle w:val="CharStyle11"/>
        </w:rPr>
        <w:t>(время местное). Перед началом заседания в адрес Комиссии поступили ходатайства заказчика, подателя жалобы об участии в рассмотрении жалобы посредством ВКС. Ходатайства удовлетворены Комиссией. На заседании Комиссии присутствовали представители заказчика и подателя жалобы посредством ВКС, а также представитель уполномоченного органа, личности и полномочия представителей подтверждены.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Комиссия в связи с поступлением настоящей жалобы также провела внеплановую проверку соблюдения законодательства о контрактной системе при проведении рассматриваемой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 доводов жалобы следует, что Заказчиком неправомерно установлены характеристики к закупаемому товару таким образом, что участникам закупки возможно предложить к поставке исключительно оригинальный товар конкретного товарного знака, указанного непосредственно в документации производителя гематологического анализатора </w:t>
      </w:r>
      <w:r>
        <w:rPr>
          <w:rStyle w:val="CharStyle11"/>
          <w:lang w:val="en-US" w:eastAsia="en-US"/>
        </w:rPr>
        <w:t xml:space="preserve">Sysmex, </w:t>
      </w:r>
      <w:r>
        <w:rPr>
          <w:rStyle w:val="CharStyle11"/>
        </w:rPr>
        <w:t xml:space="preserve">в частности, серии </w:t>
      </w:r>
      <w:r>
        <w:rPr>
          <w:rStyle w:val="CharStyle11"/>
          <w:lang w:val="en-US" w:eastAsia="en-US"/>
        </w:rPr>
        <w:t>XN.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связи с возникшей потребностью у заказчика уполномоченным органом были совершены действия по определению поставщика (подрядчика, исполнителя) посредством проведения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 констатирует, что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</w:t>
      </w:r>
      <w:r>
        <w:rPr>
          <w:rStyle w:val="CharStyle11"/>
          <w:lang w:val="en-US" w:eastAsia="en-US"/>
        </w:rPr>
        <w:t xml:space="preserve">1, 2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>1).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частью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49 </w:t>
      </w:r>
      <w:r>
        <w:rPr>
          <w:rStyle w:val="CharStyle11"/>
        </w:rPr>
        <w:t xml:space="preserve">Закона о контрактной системе электронный аукцион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«п» пункта </w:t>
      </w:r>
      <w:r>
        <w:rPr>
          <w:rStyle w:val="CharStyle11"/>
          <w:lang w:val="en-US" w:eastAsia="en-US"/>
        </w:rPr>
        <w:t xml:space="preserve">1, </w:t>
      </w:r>
      <w:r>
        <w:rPr>
          <w:rStyle w:val="CharStyle11"/>
        </w:rPr>
        <w:t xml:space="preserve">подпунктами «а»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«в» пункта </w:t>
      </w:r>
      <w:r>
        <w:rPr>
          <w:rStyle w:val="CharStyle11"/>
          <w:lang w:val="en-US" w:eastAsia="en-US"/>
        </w:rPr>
        <w:t xml:space="preserve">2, </w:t>
      </w:r>
      <w:r>
        <w:rPr>
          <w:rStyle w:val="CharStyle11"/>
        </w:rPr>
        <w:t xml:space="preserve">пунктом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 xml:space="preserve">настоящего Федерального закона. Заявка также может содержать информацию и документы, предусмотренные подпунктом «д» пункта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пункту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силу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части </w:t>
      </w:r>
      <w:r>
        <w:rPr>
          <w:rStyle w:val="CharStyle11"/>
          <w:lang w:val="en-US" w:eastAsia="en-US"/>
        </w:rPr>
        <w:t xml:space="preserve">1.1.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 xml:space="preserve">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 запрет, ограничение или преимущество, указываются характеристики товара российского происхождения.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 пункта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контрактной системе следует необходимость использования заказчиком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частью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пункту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>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наименование объекта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Часть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Закона о контрактной системе устанавливает,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Правила формирования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формирования КТРУ), а также правила использования указанного каталога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Правила использования КТРУ) устанавливаются Правительством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Правила формирования КТРУ и Правила использования КТРУ утверждены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08.02.2017 № 145 </w:t>
      </w:r>
      <w:r>
        <w:rPr>
          <w:rStyle w:val="CharStyle11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подпунктом «б» пункта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>Правил использования КТРУ каталог используется заказчиком в целях описания объекта закупки, которое включается в извещение об осуществлении закупки, приглашение и документацию о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 пункта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Правил использования КТРУ следует, что заказчики обязаны применять информацию, включенную в позицию каталога в соответствии с подпунктами «б»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«г» и «е»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«з» пункта </w:t>
      </w:r>
      <w:r>
        <w:rPr>
          <w:rStyle w:val="CharStyle11"/>
          <w:lang w:val="en-US" w:eastAsia="en-US"/>
        </w:rPr>
        <w:t xml:space="preserve">10 </w:t>
      </w:r>
      <w:r>
        <w:rPr>
          <w:rStyle w:val="CharStyle11"/>
        </w:rPr>
        <w:t>Правил формирования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наименование товара, работы, услуги;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описание товара, работы, услуги (при наличии такого описания в позиции).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подпунктом «а» пункта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Правил использования КТРУ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контрактной системе, которые не предусмотрены в позиции каталога.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пунктам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Правил использования КТРУ в случае предоставления дополнительной информации, предусмотренной пунктом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>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анализа положений Извещения, сформированных с использованием ЕИС путем заполнения экранных форм веб-интерфейса ЕИС (часть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 xml:space="preserve">Закона о контрактной системе, пункт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27.01.2022 № 60), </w:t>
      </w:r>
      <w:r>
        <w:rPr>
          <w:rStyle w:val="CharStyle11"/>
        </w:rPr>
        <w:t xml:space="preserve">а также путем прикрепления электронных документов (часть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 xml:space="preserve">Закона о контрактной системе, пункт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вышеуказанного Положения), Комиссия установила, что заказчиком осуществляется закупка товара «Буферный разбавитель образцов ИВД, автоматические </w:t>
      </w:r>
      <w:r>
        <w:rPr>
          <w:rStyle w:val="CharStyle11"/>
          <w:lang w:val="en-US" w:eastAsia="en-US"/>
        </w:rPr>
        <w:t xml:space="preserve">/ </w:t>
      </w:r>
      <w:r>
        <w:rPr>
          <w:rStyle w:val="CharStyle11"/>
        </w:rPr>
        <w:t xml:space="preserve">полуавтоматические системы», соответствующего позиции КТРУ </w:t>
      </w:r>
      <w:r>
        <w:rPr>
          <w:rStyle w:val="CharStyle11"/>
          <w:lang w:val="en-US" w:eastAsia="en-US"/>
        </w:rPr>
        <w:t xml:space="preserve">21.20.23.110-00000016, </w:t>
      </w:r>
      <w:r>
        <w:rPr>
          <w:rStyle w:val="CharStyle11"/>
        </w:rPr>
        <w:t xml:space="preserve">а также товар «Флуоресцентный краситель», код ОКПД2 </w:t>
      </w:r>
      <w:r>
        <w:rPr>
          <w:rStyle w:val="CharStyle11"/>
          <w:lang w:val="en-US" w:eastAsia="en-US"/>
        </w:rPr>
        <w:t>21.20.23.110.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Проанализировав Описание объекта закупки, Комиссия установила, что оно составлено Заказчиком на основании характеристик, указанных в позиции КТРУ.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7" w:right="539" w:bottom="1194" w:left="1099" w:header="0" w:footer="3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 xml:space="preserve">Согласно абзацу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Постановления Правительства РФ от </w:t>
      </w:r>
      <w:r>
        <w:rPr>
          <w:rStyle w:val="CharStyle11"/>
          <w:lang w:val="en-US" w:eastAsia="en-US"/>
        </w:rPr>
        <w:t xml:space="preserve">23.12.2024 № 1875 </w:t>
      </w:r>
      <w:r>
        <w:rPr>
          <w:rStyle w:val="CharStyle11"/>
        </w:rPr>
        <w:t>«О мерах по предоставлению национального режима при осуществлении закупок товаров,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Постановление </w:t>
      </w:r>
      <w:r>
        <w:rPr>
          <w:rStyle w:val="CharStyle11"/>
          <w:lang w:val="en-US" w:eastAsia="en-US"/>
        </w:rPr>
        <w:t xml:space="preserve">№ 1875) </w:t>
      </w:r>
      <w:r>
        <w:rPr>
          <w:rStyle w:val="CharStyle11"/>
        </w:rPr>
        <w:t xml:space="preserve">утвержден перечень товаров (Приложение </w:t>
      </w:r>
      <w:r>
        <w:rPr>
          <w:rStyle w:val="CharStyle11"/>
          <w:lang w:val="en-US" w:eastAsia="en-US"/>
        </w:rPr>
        <w:t xml:space="preserve">№ 2), </w:t>
      </w:r>
      <w:r>
        <w:rPr>
          <w:rStyle w:val="CharStyle11"/>
        </w:rPr>
        <w:t>на которые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сведениям указанного перечня продукция, имеющая код ОКПД2 </w:t>
      </w:r>
      <w:r>
        <w:rPr>
          <w:rStyle w:val="CharStyle11"/>
          <w:lang w:val="en-US" w:eastAsia="en-US"/>
        </w:rPr>
        <w:t xml:space="preserve">21.20.23.110 </w:t>
      </w:r>
      <w:r>
        <w:rPr>
          <w:rStyle w:val="CharStyle11"/>
        </w:rPr>
        <w:t xml:space="preserve">включена в перечень товаров (Приложение </w:t>
      </w:r>
      <w:r>
        <w:rPr>
          <w:rStyle w:val="CharStyle11"/>
          <w:lang w:val="en-US" w:eastAsia="en-US"/>
        </w:rPr>
        <w:t xml:space="preserve">№ 2), </w:t>
      </w:r>
      <w:r>
        <w:rPr>
          <w:rStyle w:val="CharStyle11"/>
        </w:rPr>
        <w:t>на которые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Относительно доводов подателя жалобы о неправомерном установлении заказчиком характеристик к закупаемому товару таким образом, что участникам закупки возможно предложить к поставке исключительно оригинальный товар конкретного товарного знака, указанного непосредственно в документации производителя гематологического анализатора </w:t>
      </w:r>
      <w:r>
        <w:rPr>
          <w:rStyle w:val="CharStyle11"/>
          <w:lang w:val="en-US" w:eastAsia="en-US"/>
        </w:rPr>
        <w:t xml:space="preserve">Sysmex, </w:t>
      </w:r>
      <w:r>
        <w:rPr>
          <w:rStyle w:val="CharStyle11"/>
        </w:rPr>
        <w:t xml:space="preserve">в частности, серии </w:t>
      </w:r>
      <w:r>
        <w:rPr>
          <w:rStyle w:val="CharStyle11"/>
          <w:lang w:val="en-US" w:eastAsia="en-US"/>
        </w:rPr>
        <w:t xml:space="preserve">XN, </w:t>
      </w:r>
      <w:r>
        <w:rPr>
          <w:rStyle w:val="CharStyle11"/>
        </w:rPr>
        <w:t>Комиссия отмечает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Комиссией в рамках рассмотрения жалобы по существу, а также проведения внеплановой проверки установлено, что в описании объекта закупки на закупаемые заказчиком товары установлена характеристика «оригинальный товар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соответствие», а также указаны конкретные товарные знаки, отраженные непосредственно в документации производителя гематологического анализатора </w:t>
      </w:r>
      <w:r>
        <w:rPr>
          <w:rStyle w:val="CharStyle11"/>
          <w:lang w:val="en-US" w:eastAsia="en-US"/>
        </w:rPr>
        <w:t xml:space="preserve">Sysmex, </w:t>
      </w:r>
      <w:r>
        <w:rPr>
          <w:rStyle w:val="CharStyle11"/>
        </w:rPr>
        <w:t xml:space="preserve">в частности, серии </w:t>
      </w:r>
      <w:r>
        <w:rPr>
          <w:rStyle w:val="CharStyle11"/>
          <w:lang w:val="en-US" w:eastAsia="en-US"/>
        </w:rPr>
        <w:t>XN.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обоснование включения обжалуемых характеристик в извещение о проведении закупки заказчиком указано, что оборудование заказчика (гематологический анализатор </w:t>
      </w:r>
      <w:r>
        <w:rPr>
          <w:rStyle w:val="CharStyle11"/>
          <w:lang w:val="en-US" w:eastAsia="en-US"/>
        </w:rPr>
        <w:t xml:space="preserve">Sysmex) </w:t>
      </w:r>
      <w:r>
        <w:rPr>
          <w:rStyle w:val="CharStyle11"/>
        </w:rPr>
        <w:t xml:space="preserve">находится на гарантийном обслуживании (гарантийный талон представлен на обозрение Комиссии). Кроме того, заказчиком отмечено, что иные товары, предлагаемые подателем жалобы в качестве эквивалентов оригинальным товарам, указанным в документации производителя оборудования </w:t>
      </w:r>
      <w:r>
        <w:rPr>
          <w:rStyle w:val="CharStyle11"/>
          <w:lang w:val="en-US" w:eastAsia="en-US"/>
        </w:rPr>
        <w:t xml:space="preserve">Sysmex, </w:t>
      </w:r>
      <w:r>
        <w:rPr>
          <w:rStyle w:val="CharStyle11"/>
        </w:rPr>
        <w:t>не соответствуют ряду характеристик, имеющих значение для заказчика с целью дальнейшего удовлетворения его потребности.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этой связи, Комиссия считает необходимым отметить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частью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38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21.11.2011 № </w:t>
      </w:r>
      <w:r>
        <w:rPr>
          <w:rStyle w:val="CharStyle11"/>
        </w:rPr>
        <w:t>323-ФЗ «Об основах охраны здоровья граждан в Российской Федерации» применение, эксплуатация медицинского изделия осуществляются в соответствии с разработанной производителем (изготовителем) медицинского изделия технической и (или) эксплуатационной документацией.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случае, если вышеуказанная документация допускает или предусматривает совместимость медицинского изделия с другими медицинскими изделиями, их комбинирование между собой при применении и эксплуатации не ограничено.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617" w:left="1106" w:header="682" w:footer="189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 xml:space="preserve">Вместе с тем, в соответствии с пунктом </w:t>
      </w:r>
      <w:r>
        <w:rPr>
          <w:rStyle w:val="CharStyle11"/>
          <w:lang w:val="en-US" w:eastAsia="en-US"/>
        </w:rPr>
        <w:t xml:space="preserve">11 </w:t>
      </w:r>
      <w:r>
        <w:rPr>
          <w:rStyle w:val="CharStyle11"/>
        </w:rPr>
        <w:t xml:space="preserve">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характера, утвержденных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01.04.2022 № 552, </w:t>
      </w:r>
      <w:r>
        <w:rPr>
          <w:rStyle w:val="CharStyle11"/>
        </w:rPr>
        <w:t xml:space="preserve">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</w:t>
      </w:r>
      <w:r>
        <w:rPr>
          <w:rStyle w:val="CharStyle11"/>
          <w:sz w:val="24"/>
          <w:szCs w:val="24"/>
          <w:lang w:val="en-US" w:eastAsia="en-US"/>
        </w:rPr>
        <w:t>2025-13013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 отмечает, что совместимость неоригинальных принадлежностей и расходных материалов с медицинскими изделиями, в случае отсутствия указания на такую совместимость в технической и эксплуатационной документации производителя (изготовителя) на медицинское изделие, определяется в ходе экспертизы качества, эффективности и безопасности медицинских изделий при процедуре государственной регистрации медицинских изделий в соответствии с Правилами государственной регистрации медицинских изделий, утвержденными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30.11.2024 № 1684, </w:t>
      </w:r>
      <w:r>
        <w:rPr>
          <w:rStyle w:val="CharStyle11"/>
        </w:rPr>
        <w:t xml:space="preserve">Правилами регистрации и экспертизы безопасности качества и эффективности медицинских изделий, утвержденными решением совета Евразийской экономической комиссии от </w:t>
      </w:r>
      <w:r>
        <w:rPr>
          <w:rStyle w:val="CharStyle11"/>
          <w:lang w:val="en-US" w:eastAsia="en-US"/>
        </w:rPr>
        <w:t xml:space="preserve">12.02.2016 № 46, </w:t>
      </w:r>
      <w:r>
        <w:rPr>
          <w:rStyle w:val="CharStyle11"/>
        </w:rPr>
        <w:t xml:space="preserve">Порядком организации и проведения экспертизы качества, эффективности и безопасности медицинских изделий, утвержденным приказом Минздрава России от </w:t>
      </w:r>
      <w:r>
        <w:rPr>
          <w:rStyle w:val="CharStyle11"/>
          <w:lang w:val="en-US" w:eastAsia="en-US"/>
        </w:rPr>
        <w:t xml:space="preserve">20.03.2020 № </w:t>
      </w:r>
      <w:r>
        <w:rPr>
          <w:rStyle w:val="CharStyle11"/>
        </w:rPr>
        <w:t>206н.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Таким образом, наличие в инструкции по применению реагентов, прошедших государственную регистрацию в качестве медицинских изделий, указания на совместимость с гематологическим анализатором, является фактическим подтверждением данной совместимости.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Следовательно, реагенты иных производителей, содержащие указание на совместимость с гематологическим анализатором в инструкции по применению, прошедшие государственную регистрацию, являются взаимозаменяемыми с регентами производителей гематологических анализаторов и образуют с ними один товарный рынок.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Указанная позиция отражена в письме ФАС России от </w:t>
      </w:r>
      <w:r>
        <w:rPr>
          <w:rStyle w:val="CharStyle11"/>
          <w:lang w:val="en-US" w:eastAsia="en-US"/>
        </w:rPr>
        <w:t xml:space="preserve">16.11.2023 № </w:t>
      </w:r>
      <w:r>
        <w:rPr>
          <w:rStyle w:val="CharStyle11"/>
        </w:rPr>
        <w:t xml:space="preserve">ГМ/95748/23, письме ФАС России от </w:t>
      </w:r>
      <w:r>
        <w:rPr>
          <w:rStyle w:val="CharStyle11"/>
          <w:lang w:val="en-US" w:eastAsia="en-US"/>
        </w:rPr>
        <w:t xml:space="preserve">20.03.2025 № 28/25602/25, </w:t>
      </w:r>
      <w:r>
        <w:rPr>
          <w:rStyle w:val="CharStyle11"/>
        </w:rPr>
        <w:t xml:space="preserve">а также письме Федеральной службы по надзору в сфере здравоохранения от </w:t>
      </w:r>
      <w:r>
        <w:rPr>
          <w:rStyle w:val="CharStyle11"/>
          <w:lang w:val="en-US" w:eastAsia="en-US"/>
        </w:rPr>
        <w:t>16.04.2025 № 04-22671/25.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Подателем жалобы в материалы жалобы представлены выдержки из регистрационных удостоверений, подтверждающие наличие зарегистрированных реагентов для автоматических гематологических анализаторов </w:t>
      </w:r>
      <w:r>
        <w:rPr>
          <w:rStyle w:val="CharStyle11"/>
          <w:lang w:val="en-US" w:eastAsia="en-US"/>
        </w:rPr>
        <w:t xml:space="preserve">Sysmex, </w:t>
      </w:r>
      <w:r>
        <w:rPr>
          <w:rStyle w:val="CharStyle11"/>
        </w:rPr>
        <w:t xml:space="preserve">в частности, серии </w:t>
      </w:r>
      <w:r>
        <w:rPr>
          <w:rStyle w:val="CharStyle11"/>
          <w:lang w:val="en-US" w:eastAsia="en-US"/>
        </w:rPr>
        <w:t>XN.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Таким образом, Комиссия приходит к выводу, что на товарном рынке имеются реагенты, прошедшие государственную регистрацию в качестве медицинских изделий, с указанием в инструкции, регистрационном удостоверении на совместимость, в том числе с гематологическим анализатором, имеющимся у Заказчика. Доказательств обратного Комиссии представлено не было.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Кроме того, представителем заказчика не отрицался факт наличия на товарном рынке реагентов, совместимых с оборудованием заказчика, вместе с тем, довод заказчика о несоответствии иных (не оригинальных) реагентов по ряду характеристик потребности заказчика отклонен Комиссией ввиду его несостоятельности, поскольку указанные заказчиком в письменных пояснениях характеристики не были отражены последним в извещении о проведении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этой связи Комиссия также отмечает, что при наличии объективно существующей потребности, выраженной в конкретной совокупности технических характеристик закупаемого товара, у заказчика имелась возможность указания дополнительных характеристик в описании объекта закупки, однако данной возможностью заказчик не воспользовался.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Кроме того, относительно указания заказчика на те обстоятельства, что оборудование заказчика (гематологический анализатор </w:t>
      </w:r>
      <w:r>
        <w:rPr>
          <w:rStyle w:val="CharStyle11"/>
          <w:lang w:val="en-US" w:eastAsia="en-US"/>
        </w:rPr>
        <w:t xml:space="preserve">Sysmex) </w:t>
      </w:r>
      <w:r>
        <w:rPr>
          <w:rStyle w:val="CharStyle11"/>
        </w:rPr>
        <w:t>находится на гарантийном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обслуживании, Комиссия отмечает, что согласно позиции ФАС России договоры дарения, договоры ссуды, иные соглашения о передаче анализаторов определенных производителей в безвозмездное пользование заказчику, заключенные с хозяйствующими субъектами, которые имели возможность быть участниками конкурентных закупок таких анализаторов, направлены в дальнейшем на получение такими хозяйствующими субъектами (производителями) определенных преимуществ в виде обеспечения государственными заказчиками периодических закупок расходных материалов к переданным в безвозмездное пользование анализаторам.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 учетом изложенного, Комиссия пришла к выводу, что указание в описании объекта закупки в отношении реагентов конкретных товарных знаков без возможности поставки эквивалентной продукции, при наличии на рынке прошедших государственную регистрацию реагентов иных производителей, содержащих в инструкции по применению, регистрационном удостоверении информацию о совместимости с гематологическим анализатором, имеющимся у заказчика, не соответствует требованиям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33,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Выявленные нарушения Закона о контрактной системе свидетельствуют о наличии в действиях заказчика признаков состава административного правонарушения, предусмотренного ч.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7.30.1 </w:t>
      </w:r>
      <w:r>
        <w:rPr>
          <w:rStyle w:val="CharStyle11"/>
        </w:rPr>
        <w:t xml:space="preserve">Кодекса Российской Федерации об административных правонарушениях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КоАП РФ).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вышеизложенных обстоятельств, в результате рассмотрения жалобы по существу и проведения внеплановой проверки, руководствуясь частями </w:t>
      </w:r>
      <w:r>
        <w:rPr>
          <w:rStyle w:val="CharStyle11"/>
          <w:lang w:val="en-US" w:eastAsia="en-US"/>
        </w:rPr>
        <w:t xml:space="preserve">3, 15, 22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99, </w:t>
      </w:r>
      <w:r>
        <w:rPr>
          <w:rStyle w:val="CharStyle11"/>
        </w:rPr>
        <w:t xml:space="preserve">частью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106 </w:t>
      </w:r>
      <w:r>
        <w:rPr>
          <w:rStyle w:val="CharStyle11"/>
        </w:rPr>
        <w:t>Закона о контрактной системе Комиссия Красноярского УФАС России решила: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Признать жалобу ИП Мельникова С.Г. 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Признать заказчика нарушившим требования статьи </w:t>
      </w:r>
      <w:r>
        <w:rPr>
          <w:rStyle w:val="CharStyle11"/>
          <w:lang w:val="en-US" w:eastAsia="en-US"/>
        </w:rPr>
        <w:t xml:space="preserve">33,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Выдать заказчику предписание об устранении выявленных нарушений путем внесения изменений в извещение о проведении электронного аукциона.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Аукционной комиссии, заказчику, уполномоченному органу, оператору электронной площадки отменить все протоколы, составленные в ходе проведения электронного аукциона.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Продлить срок подачи заявок на участие в аукционе не менее, чем на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дня, начиная со дня размещения измененного извещения о проведении электронного аукциона.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Передать материалы по жалобе и результатам внеплановой проверки уполномоченному должностному лицу Красноярского УФАС России для рассмотрения вопроса о необходимости возбуждения дела об административном правонарушении в отношении должностного лица заказчика, ответственного за формирование положений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1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563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1"/>
        </w:rPr>
        <w:t>Председатель Комиссии</w:t>
        <w:tab/>
        <w:t>М.А. Дударева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894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1"/>
        </w:rPr>
        <w:t>Члены Комиссии</w:t>
        <w:tab/>
        <w:t>К.С. Варава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8480"/>
        <w:jc w:val="both"/>
        <w:rPr>
          <w:sz w:val="18"/>
          <w:szCs w:val="18"/>
        </w:rPr>
      </w:pPr>
      <w:r>
        <w:rPr>
          <w:rStyle w:val="CharStyle11"/>
        </w:rPr>
        <w:t xml:space="preserve">А.Р. Мулагалеев </w:t>
      </w:r>
      <w:r>
        <w:rPr>
          <w:rStyle w:val="CharStyle11"/>
          <w:sz w:val="18"/>
          <w:szCs w:val="18"/>
        </w:rPr>
        <w:t>Исп.Варава К.С.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9"/>
          <w:color w:val="000000"/>
        </w:rPr>
        <w:t>тел.211-18-30</w:t>
      </w:r>
    </w:p>
    <w:sectPr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077" w:right="506" w:bottom="1143" w:left="1088" w:header="649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10030460</wp:posOffset>
              </wp:positionV>
              <wp:extent cx="734695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2025-13013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75pt;margin-top:789.80000000000007pt;width:57.8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2025-13013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734695" cy="1250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2025-13013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7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2025-13013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10030460</wp:posOffset>
              </wp:positionV>
              <wp:extent cx="734695" cy="12509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2025-13013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75pt;margin-top:789.80000000000007pt;width:57.8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2025-13013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Heading #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40"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/Relationships>
</file>