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05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40" w:line="480" w:lineRule="auto"/>
        <w:ind w:left="1040" w:right="0" w:firstLine="0"/>
        <w:jc w:val="both"/>
      </w:pPr>
      <w:r>
        <w:rPr>
          <w:rStyle w:val="CharStyle7"/>
        </w:rPr>
        <w:t xml:space="preserve">ГБУЗ «ГП 214 ДЗМ» </w:t>
      </w:r>
      <w:r>
        <w:fldChar w:fldCharType="begin"/>
      </w:r>
      <w:r>
        <w:rPr/>
        <w:instrText> HYPERLINK "mailto:gp214@zdrav.mos.ru" </w:instrText>
      </w:r>
      <w:r>
        <w:fldChar w:fldCharType="separate"/>
      </w:r>
      <w:r>
        <w:rPr>
          <w:rStyle w:val="CharStyle7"/>
          <w:lang w:val="en-US" w:eastAsia="en-US"/>
        </w:rPr>
        <w:t>gp214@zdrav.mos.ru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ИП Чудакова Т.М. </w:t>
      </w:r>
      <w:r>
        <w:fldChar w:fldCharType="begin"/>
      </w:r>
      <w:r>
        <w:rPr/>
        <w:instrText> HYPERLINK "mailto:ip.shudo@mail.ru" </w:instrText>
      </w:r>
      <w:r>
        <w:fldChar w:fldCharType="separate"/>
      </w:r>
      <w:r>
        <w:rPr>
          <w:rStyle w:val="CharStyle7"/>
          <w:lang w:val="en-US" w:eastAsia="en-US"/>
        </w:rPr>
        <w:t>ip.shudo@mail.ru</w:t>
      </w:r>
      <w:r>
        <w:fldChar w:fldCharType="end"/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 xml:space="preserve">АО 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7"/>
          <w:b/>
          <w:bCs/>
        </w:rPr>
        <w:t>по делу №077/06/106-11110/2025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85" w:val="left"/>
        </w:tabs>
        <w:bidi w:val="0"/>
        <w:spacing w:before="0" w:after="0"/>
        <w:ind w:left="0" w:right="0" w:firstLine="0"/>
        <w:jc w:val="both"/>
      </w:pPr>
      <w:r>
        <w:rPr>
          <w:rStyle w:val="CharStyle7"/>
          <w:b/>
          <w:bCs/>
        </w:rPr>
        <w:t>03 09.2025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видеоконференцсвязи) при участии представителя ГБУЗ «ГП 214 ДЗМ»: Уфимцевой А.А. (дов.№б/н от 03.09.2025),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отсутствие представителей ИП Чудакова Т.М , о времени и порядке заседания Комиссии Управления уведомленных надлежащим образом посредством размещения сведений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0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708" w:left="1106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7"/>
        </w:rPr>
        <w:t>рассмотрев жалобу ИП Чудакова Т.М (далее — Заявитель) на действия ГБУЗ «ГП 214 ДЗМ» (далее - Заказчик) при проведении электронного аукциона на право заключения государственного контракта на поставку дезинфицирующих средств для нужд ГБУЗ «ГП 214 ДЗМ» (Закупка № 0373200589125000071) (далее — аукцион),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комиссии по осуществлению закупок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составе жалобы Заявитель указывает, что комиссией по осуществлению закупок Заказчика нарушены нормы Закона о контрактной системе в результате отклонения заявки участника закупки ИП Чудакова Т.М.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7"/>
          <w:lang w:val="en-US" w:eastAsia="en-US"/>
        </w:rPr>
        <w:t xml:space="preserve">25.08.2025 </w:t>
      </w:r>
      <w:r>
        <w:rPr>
          <w:rStyle w:val="CharStyle7"/>
        </w:rPr>
        <w:t xml:space="preserve">№ИЭА11 заявка участника закупки ИП Чудакова Т.М., с идентификационным номером </w:t>
      </w:r>
      <w:r>
        <w:rPr>
          <w:rStyle w:val="CharStyle7"/>
          <w:lang w:val="en-US" w:eastAsia="en-US"/>
        </w:rPr>
        <w:t xml:space="preserve">2254267, </w:t>
      </w:r>
      <w:r>
        <w:rPr>
          <w:rStyle w:val="CharStyle7"/>
        </w:rPr>
        <w:t>отклонена комиссией по осуществлению закупок Заказчика на следующем основании: «</w:t>
      </w:r>
      <w:r>
        <w:rPr>
          <w:rStyle w:val="CharStyle7"/>
          <w:i/>
          <w:iCs/>
        </w:rPr>
        <w:t>Отклонить заявку на участие в закупке по п.8 ч.12 ст.48 №44-ФЗ «Выявление недостоверной информации, содержащейся в заявке на участие в закупке»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  <w:i/>
          <w:iCs/>
        </w:rPr>
        <w:t xml:space="preserve">В своей Заявке, в п.1, </w:t>
      </w:r>
      <w:r>
        <w:rPr>
          <w:rStyle w:val="CharStyle7"/>
          <w:i/>
          <w:iCs/>
          <w:lang w:val="en-US" w:eastAsia="en-US"/>
        </w:rPr>
        <w:t xml:space="preserve">2, 3, 4, 5 </w:t>
      </w:r>
      <w:r>
        <w:rPr>
          <w:rStyle w:val="CharStyle7"/>
          <w:i/>
          <w:iCs/>
        </w:rPr>
        <w:t>Участник не предоставил сведения о наименовании предлагаемого к поставке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  <w:i/>
          <w:iCs/>
        </w:rPr>
        <w:t xml:space="preserve">В своей Заявке в п.1, </w:t>
      </w:r>
      <w:r>
        <w:rPr>
          <w:rStyle w:val="CharStyle7"/>
          <w:i/>
          <w:iCs/>
          <w:lang w:val="en-US" w:eastAsia="en-US"/>
        </w:rPr>
        <w:t xml:space="preserve">2, 3, 4 </w:t>
      </w:r>
      <w:r>
        <w:rPr>
          <w:rStyle w:val="CharStyle7"/>
          <w:i/>
          <w:iCs/>
        </w:rPr>
        <w:t>Участник не предоставил сведения о товарном знаке предлагаемого к поставке товара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Комиссией Управления установлено, что, согласно извещению об осуществлении закупки, Заказчиком закупаются товары «Средство дезинфицирующее» (п.1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>п.5)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41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7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  <w:sz w:val="24"/>
          <w:szCs w:val="24"/>
          <w:lang w:val="en-US" w:eastAsia="en-US"/>
        </w:rPr>
        <w:t>2025-40772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«п» п.1, пп.«а»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ст. </w:t>
      </w:r>
      <w:r>
        <w:rPr>
          <w:rStyle w:val="CharStyle7"/>
          <w:lang w:val="en-US" w:eastAsia="en-US"/>
        </w:rPr>
        <w:t xml:space="preserve">33 </w:t>
      </w:r>
      <w:r>
        <w:rPr>
          <w:rStyle w:val="CharStyle7"/>
        </w:rPr>
        <w:t>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с учетом положений ч.2 ст.43 Закона о контрактной системе предложение по критериям, предусмотренным п.2 и (или)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90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Комиссией Управления установлено, что в электронном документе «Требование к участнику МИ», размещенном в составе извещения, Заказчиком определены в том числе следующие требования к составу заявки на участие в закупке: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>«</w:t>
      </w:r>
      <w:r>
        <w:rPr>
          <w:rStyle w:val="CharStyle7"/>
          <w:i/>
          <w:iCs/>
          <w:lang w:val="en-US" w:eastAsia="en-US"/>
        </w:rPr>
        <w:t xml:space="preserve">5. </w:t>
      </w:r>
      <w:r>
        <w:rPr>
          <w:rStyle w:val="CharStyle7"/>
          <w:i/>
          <w:iCs/>
        </w:rPr>
        <w:t xml:space="preserve"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7"/>
          <w:i/>
          <w:iCs/>
          <w:lang w:val="en-US" w:eastAsia="en-US"/>
        </w:rPr>
        <w:t xml:space="preserve">2 </w:t>
      </w:r>
      <w:r>
        <w:rPr>
          <w:rStyle w:val="CharStyle7"/>
          <w:i/>
          <w:iCs/>
        </w:rPr>
        <w:t xml:space="preserve">статьи </w:t>
      </w:r>
      <w:r>
        <w:rPr>
          <w:rStyle w:val="CharStyle7"/>
          <w:i/>
          <w:iCs/>
          <w:lang w:val="en-US" w:eastAsia="en-US"/>
        </w:rPr>
        <w:t xml:space="preserve">33 </w:t>
      </w:r>
      <w:r>
        <w:rPr>
          <w:rStyle w:val="CharStyle7"/>
          <w:i/>
          <w:iCs/>
        </w:rPr>
        <w:t>Закона о контрактной системе</w:t>
      </w:r>
      <w:r>
        <w:rPr>
          <w:rStyle w:val="CharStyle7"/>
        </w:rPr>
        <w:t>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121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  <w:lang w:val="en-US" w:eastAsia="en-US"/>
        </w:rPr>
        <w:t>«</w:t>
      </w:r>
      <w:r>
        <w:rPr>
          <w:rStyle w:val="CharStyle7"/>
          <w:i/>
          <w:iCs/>
          <w:lang w:val="en-US" w:eastAsia="en-US"/>
        </w:rPr>
        <w:t xml:space="preserve">8. </w:t>
      </w:r>
      <w:r>
        <w:rPr>
          <w:rStyle w:val="CharStyle7"/>
          <w:i/>
          <w:iCs/>
        </w:rPr>
        <w:t>Товарный знак (при наличии)</w:t>
      </w:r>
      <w:r>
        <w:rPr>
          <w:rStyle w:val="CharStyle7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0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716" w:right="550" w:bottom="241" w:left="1103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Комиссией Управления установлено, что в составе заявки участника закупки ИП Чудакова Т.М. представлены сведения о предложенных в поставке изделиях, в том числе представлена информация о наименовании предлагаемых к поставке товаров «Средство дезинфицирующее» по всем </w:t>
      </w:r>
      <w:r>
        <w:rPr>
          <w:rStyle w:val="CharStyle7"/>
          <w:lang w:val="en-US" w:eastAsia="en-US"/>
        </w:rPr>
        <w:t xml:space="preserve">5 </w:t>
      </w:r>
      <w:r>
        <w:rPr>
          <w:rStyle w:val="CharStyle7"/>
        </w:rPr>
        <w:t xml:space="preserve">позициям, при этом информация о наличии товарного знака у товаров по п.1-4 заявки не </w:t>
      </w:r>
      <w:r>
        <w:rPr>
          <w:rStyle w:val="CharStyle7"/>
          <w:sz w:val="24"/>
          <w:szCs w:val="24"/>
          <w:lang w:val="en-US" w:eastAsia="en-US"/>
        </w:rPr>
        <w:t>2025-40772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rStyle w:val="CharStyle7"/>
        </w:rPr>
        <w:t>представлена.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п.1</w:t>
        <w:softHyphen/>
        <w:t>8</w:t>
      </w:r>
      <w:r>
        <w:rPr>
          <w:rStyle w:val="CharStyle7"/>
          <w:lang w:val="en-US" w:eastAsia="en-US"/>
        </w:rPr>
        <w:t xml:space="preserve"> </w:t>
      </w:r>
      <w:r>
        <w:rPr>
          <w:rStyle w:val="CharStyle7"/>
        </w:rPr>
        <w:t>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(за исключением случаев, предусмотренных Законом о контрактной системе)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непредставления информации и документов, предусмотренных п.2 и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ч.1.1,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и </w:t>
      </w:r>
      <w:r>
        <w:rPr>
          <w:rStyle w:val="CharStyle7"/>
          <w:lang w:val="en-US" w:eastAsia="en-US"/>
        </w:rPr>
        <w:t xml:space="preserve">2.1 </w:t>
      </w:r>
      <w:r>
        <w:rPr>
          <w:rStyle w:val="CharStyle7"/>
        </w:rPr>
        <w:t>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предусмотренных пп.«а» п.1 (за исключением случая, предусмотренного п.5 ч.12 ст.48 Закона о контрактной системе), пп.«а» п.2 ч.4, пп.«а» п.1 (за исключением случая, предусмотренного п.5 ч.12 ст.48 Закона о контрактной системе), п.2 ч.5 ст.14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00"/>
        <w:jc w:val="both"/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721" w:right="536" w:bottom="721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 xml:space="preserve">июня </w:t>
      </w:r>
      <w:r>
        <w:rPr>
          <w:rStyle w:val="CharStyle7"/>
          <w:lang w:val="en-US" w:eastAsia="en-US"/>
        </w:rPr>
        <w:t xml:space="preserve">2018 </w:t>
      </w:r>
      <w:r>
        <w:rPr>
          <w:rStyle w:val="CharStyle7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3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2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5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заседании Комиссии Управления представитель Заказчика, что заявка участника закупки отклонена в том числе в связи с тем, что по п.1-4 позициям Заявителем не указано на товарный знак предлагаемых к поставке товаров, равно как не указано на его отсутствие. При этом на заседании Комиссии Управления представителем Заказчика не представлено сведений о том, что предложенные к поставке по п.1-4 заявки Заявителя товары обладают товарным знаком.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Также на заседании Комиссии Управления представителем Заказчика озвучены новые основания отклонения заявки Заявителя, не указанные в протоколе подведения итогов.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Вместе с этим Комиссией Управления установлено, что указанные представителем Заказчика новые основания отклонения заявки Заявителя не соотносятся с основанием отклонения такой заявки, указанным в протоколе подведения итогов, кроме того, в протоколе подведения итогов указано исключительно на отсутствие в составе заявки участника закупки наименования предлагаемых к поставке товаров по п.1, </w:t>
      </w:r>
      <w:r>
        <w:rPr>
          <w:rStyle w:val="CharStyle7"/>
          <w:lang w:val="en-US" w:eastAsia="en-US"/>
        </w:rPr>
        <w:t xml:space="preserve">2, 3, 4, 5 </w:t>
      </w:r>
      <w:r>
        <w:rPr>
          <w:rStyle w:val="CharStyle7"/>
        </w:rPr>
        <w:t>и товарного знака по п.1-4 заявки участника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Комиссия Управления отмечает, что в целях обеспечения гласности и прозрачности осуществления закупок, предотвращения коррупции и других злоупотреблений в указанной сфере, представляется возможным сделать вывод о том, что обязательному доведению до сведения участников закупки подлежит вся информация, касающаяся хода и результатов рассмотрения их заявок на участие в названной закупке, поскольку упомянутые результаты напрямую затрагивают права и законные интересы таких участников.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Кроме того, такая информация должна детально раскрывать причины отклонения поданной заявки с указанием на то, каким именно положениям извещения не соответствует такая заявка и в какой именно ее части, с тем, чтобы исключить возможность заказчиков в последующем субъективно трактовать причины такого отклонения и предоставить участникам закупки возможность в случае несогласия с таким решением заказчика оспорить в установленном законом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700"/>
        <w:jc w:val="both"/>
        <w:rPr>
          <w:sz w:val="24"/>
          <w:szCs w:val="24"/>
        </w:rPr>
        <w:sectPr>
          <w:headerReference w:type="default" r:id="rId14"/>
          <w:footerReference w:type="default" r:id="rId15"/>
          <w:footnotePr>
            <w:pos w:val="pageBottom"/>
            <w:numFmt w:val="decimal"/>
            <w:numRestart w:val="continuous"/>
          </w:footnotePr>
          <w:pgSz w:w="11900" w:h="16840"/>
          <w:pgMar w:top="721" w:right="536" w:bottom="294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 xml:space="preserve">Названный правовой подход наиболее полно отвечает законодательно закрепленному принципу равенства участников гражданских правоотношений (ч.1 ст.1 Гражданского кодекса Российской Федерации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ГК РФ), и данного подхода последовательно придерживаются арбитражные суды </w:t>
      </w:r>
      <w:r>
        <w:rPr>
          <w:rStyle w:val="CharStyle7"/>
          <w:sz w:val="24"/>
          <w:szCs w:val="24"/>
          <w:lang w:val="en-US" w:eastAsia="en-US"/>
        </w:rPr>
        <w:t>2025-40772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 xml:space="preserve">Московского округа, в частности по делам </w:t>
      </w:r>
      <w:r>
        <w:rPr>
          <w:rStyle w:val="CharStyle7"/>
          <w:lang w:val="en-US" w:eastAsia="en-US"/>
        </w:rPr>
        <w:t xml:space="preserve">№№ </w:t>
      </w:r>
      <w:r>
        <w:rPr>
          <w:rStyle w:val="CharStyle7"/>
        </w:rPr>
        <w:t>А40-137048/12, А40-5013/14, А40-43124/14, А40-219113/14.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Таким образом, отклонение заявки участника закупки без размещения корректного обоснования отклонения заявки такого участника закупки в протоколе изначально нельзя признать правомерным ввиду несоответствия таких действий целям обеспечения гласности и прозрачности осуществления закупок (ч.1 ст.1 Закона о контрактной системе), а также законодательно установленному запрету на злоупотребление правом (ч.2 ст.10 ГК РФ) и принципу недопустимости извлечения преимущества из своего незаконного или недобросовестного поведения (ч.4 ст.1 ГК РФ).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Также Комиссия Управления отмечает, что отсутствие оснований отклонения в составе протокола подведения итогов не позволяет участникам закупки надлежащим образом обжаловать такие основания отклонения в случае несогласия с принятым комиссией по осуществлению закупок Заказчика решением.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Таким образом, озвученные представителем Заказчика основания отклонения заявки участника закупки, не отраженные в протоколе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не могут быть рассмотрены Комиссией Управления, так как сведения о таких основаниях, отсутствуют в протоколе подведения итогов.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Вместе с этим, как установлено Комиссией Управления, сведения о наименовании предлагаемых к поставке товаров в составе заявки участника представлены по всем пяти позициям, а информация о наличии у представленных Заявителем к поставке товаров по п.1-4 товарного знака представляем Заказчика в материалы дела не представлена.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соответствии со ст.1477 Гражданского кодекса Российской Федерации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ГК РФ) на товарный знак, то есть на обозначение, служащее для индивидуализации товаров, признается исключительное право, удостоверяемое свидетельством на товарный знак.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При этом в соответствии с положениями статей </w:t>
      </w:r>
      <w:r>
        <w:rPr>
          <w:rStyle w:val="CharStyle7"/>
          <w:lang w:val="en-US" w:eastAsia="en-US"/>
        </w:rPr>
        <w:t xml:space="preserve">1479, 1480, 1481 </w:t>
      </w:r>
      <w:r>
        <w:rPr>
          <w:rStyle w:val="CharStyle7"/>
        </w:rPr>
        <w:t>ГК РФ указанное обозначение является товарным знаком только в случае его государственной регистрации федеральным органом исполнительной власти по интеллектуальной собственности и выдачи соответствующего свидетельства.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положениями ГК РФ регистрация товарного знака является не обязанностью, а правом юридического лица или индивидуального предпринимателя.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Также Комиссия Управления отмечает, что пп.«а» п.2 ч.1 ст.43 Закона о контрактной системе предусмотрена обязанность участника закупки указать товарный знак предлагаемого к поставке товара исключительно при наличии такого товарного знака у предлагаемого товара, при этом, Законом о контрактной системе участникам закупки не вменена обязанность декларировать отсутствие у предлагаемых товаров товарных знаков.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вышеизложенного, Комиссия Управления приходит к выводу о том, что решение комиссии по осуществлению закупок Заказчика в части отклонения заявки ИП Чудакова Т.М., по основаниям указанным в протоколе подведения итогов, принято в нарушение пп.«а» п.1 ч.5 ст.49 Закона о контрактной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системе, 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40" w:line="254" w:lineRule="auto"/>
        <w:ind w:left="0" w:right="0" w:firstLine="700"/>
        <w:jc w:val="both"/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54" w:lineRule="auto"/>
        <w:ind w:left="0" w:right="0" w:firstLine="0"/>
        <w:jc w:val="center"/>
      </w:pPr>
      <w:r>
        <w:rPr>
          <w:rStyle w:val="CharStyle7"/>
          <w:b/>
          <w:bCs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 xml:space="preserve">Признать жалобу ИП Чудакова Т.М. на действия комиссии по осуществлению закупок ГБУЗ «ГП </w:t>
      </w:r>
      <w:r>
        <w:rPr>
          <w:rStyle w:val="CharStyle7"/>
          <w:lang w:val="en-US" w:eastAsia="en-US"/>
        </w:rPr>
        <w:t xml:space="preserve">214 </w:t>
      </w:r>
      <w:r>
        <w:rPr>
          <w:rStyle w:val="CharStyle7"/>
        </w:rPr>
        <w:t>ДЗМ» 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Признать в действиях комиссии по осуществлению закупок Заказчика нарушение пп.«а» п.1 ч.5 ст.49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7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411" w:val="left"/>
        </w:tabs>
        <w:bidi w:val="0"/>
        <w:spacing w:before="0" w:after="300" w:line="254" w:lineRule="auto"/>
        <w:ind w:left="0" w:right="0" w:firstLine="700"/>
        <w:jc w:val="both"/>
      </w:pPr>
      <w:r>
        <w:rPr>
          <w:rStyle w:val="CharStyle7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16"/>
          <w:footerReference w:type="default" r:id="rId17"/>
          <w:footnotePr>
            <w:pos w:val="pageBottom"/>
            <w:numFmt w:val="decimal"/>
            <w:numRestart w:val="continuous"/>
          </w:footnotePr>
          <w:pgSz w:w="11900" w:h="16840"/>
          <w:pgMar w:top="709" w:right="533" w:bottom="863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42900" distB="344170" distL="0" distR="0" simplePos="0" relativeHeight="125829382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342900</wp:posOffset>
                </wp:positionV>
                <wp:extent cx="189611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149999999999999pt;margin-top:27.pt;width:149.30000000000001pt;height:19.699999999999999pt;z-index:-125829371;mso-wrap-distance-left:0;mso-wrap-distance-top:27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15925" distB="0" distL="0" distR="17862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415925</wp:posOffset>
            </wp:positionV>
            <wp:extent cx="359410" cy="5245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821055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0.90000000000003pt;margin-top:64.650000000000006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504190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75pt;margin-top:39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2900" distB="344170" distL="0" distR="0" simplePos="0" relativeHeight="125829385" behindDoc="0" locked="0" layoutInCell="1" allowOverlap="1">
                <wp:simplePos x="0" y="0"/>
                <wp:positionH relativeFrom="page">
                  <wp:posOffset>6081395</wp:posOffset>
                </wp:positionH>
                <wp:positionV relativeFrom="paragraph">
                  <wp:posOffset>342900</wp:posOffset>
                </wp:positionV>
                <wp:extent cx="113665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8.85000000000002pt;margin-top:27.pt;width:89.5pt;height:19.699999999999999pt;z-index:-125829368;mso-wrap-distance-left:0;mso-wrap-distance-top:27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0.85000000000002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69999999999999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Матюшенко Александр Александрович</w:t>
      </w:r>
      <w:r>
        <w:rPr>
          <w:rStyle w:val="CharStyle18"/>
          <w:color w:val="000000"/>
        </w:rPr>
        <w:t xml:space="preserve"> </w:t>
      </w: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4F595A5C3E5ABB2DD77161F08559FC07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40" w:line="266" w:lineRule="auto"/>
        <w:ind w:right="0" w:firstLine="0"/>
        <w:jc w:val="left"/>
      </w:pPr>
      <w:r>
        <w:rPr>
          <w:rStyle w:val="CharStyle18"/>
        </w:rPr>
        <w:t xml:space="preserve">Действителен с 22.07.2025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3106420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3566795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5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280.85000000000002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5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3526790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7.69999999999999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009EC19D0AD083DC593EE489E44F6A415</w:t>
      </w:r>
      <w:r>
        <w:rPr>
          <w:rStyle w:val="CharStyle18"/>
          <w:lang w:val="en-US" w:eastAsia="en-US"/>
        </w:rPr>
        <w:t>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right="0" w:firstLine="0"/>
        <w:jc w:val="left"/>
      </w:pPr>
      <w:r>
        <w:rPr>
          <w:rStyle w:val="CharStyle18"/>
        </w:rPr>
        <w:t xml:space="preserve">Действителен с 21.01.2025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16.04.2026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21" w:right="532" w:bottom="721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10229850</wp:posOffset>
              </wp:positionV>
              <wp:extent cx="725170" cy="914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2025-40772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75pt;margin-top:805.5pt;width:57.100000000000001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2025-40772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10328910</wp:posOffset>
              </wp:positionV>
              <wp:extent cx="7226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2025-40772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49999999999999pt;margin-top:813.30000000000007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2025-40772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10328910</wp:posOffset>
              </wp:positionV>
              <wp:extent cx="722630" cy="1003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9"/>
                              <w:sz w:val="24"/>
                              <w:szCs w:val="24"/>
                            </w:rPr>
                            <w:t>2025-40772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149999999999999pt;margin-top:813.30000000000007pt;width:56.899999999999999pt;height:7.90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9"/>
                        <w:sz w:val="24"/>
                        <w:szCs w:val="24"/>
                      </w:rPr>
                      <w:t>2025-40772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229235</wp:posOffset>
              </wp:positionV>
              <wp:extent cx="67310" cy="6985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80000000000001pt;margin-top:18.050000000000001pt;width:5.2999999999999998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218440</wp:posOffset>
              </wp:positionV>
              <wp:extent cx="69850" cy="698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8.94999999999999pt;margin-top:17.199999999999999pt;width:5.5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229235</wp:posOffset>
              </wp:positionV>
              <wp:extent cx="67310" cy="6985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80000000000001pt;margin-top:18.050000000000001pt;width:5.2999999999999998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3923665</wp:posOffset>
              </wp:positionH>
              <wp:positionV relativeFrom="page">
                <wp:posOffset>218440</wp:posOffset>
              </wp:positionV>
              <wp:extent cx="69850" cy="6985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9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308.94999999999999pt;margin-top:17.199999999999999pt;width:5.5pt;height:5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9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Header or footer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Header or footer (2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3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Relationship Id="rId14" Type="http://schemas.openxmlformats.org/officeDocument/2006/relationships/header" Target="header3.xml"/><Relationship Id="rId15" Type="http://schemas.openxmlformats.org/officeDocument/2006/relationships/footer" Target="footer4.xml"/><Relationship Id="rId16" Type="http://schemas.openxmlformats.org/officeDocument/2006/relationships/header" Target="header4.xml"/><Relationship Id="rId17" Type="http://schemas.openxmlformats.org/officeDocument/2006/relationships/footer" Target="footer5.xml"/><Relationship Id="rId18" Type="http://schemas.openxmlformats.org/officeDocument/2006/relationships/image" Target="media/image3.jpeg"/><Relationship Id="rId19" Type="http://schemas.openxmlformats.org/officeDocument/2006/relationships/image" Target="media/image3.jpeg" TargetMode="External"/><Relationship Id="rId20" Type="http://schemas.openxmlformats.org/officeDocument/2006/relationships/image" Target="media/image4.jpeg"/><Relationship Id="rId21" Type="http://schemas.openxmlformats.org/officeDocument/2006/relationships/image" Target="media/image4.jpeg" TargetMode="External"/><Relationship Id="rId22" Type="http://schemas.openxmlformats.org/officeDocument/2006/relationships/image" Target="media/image5.jpeg"/><Relationship Id="rId23" Type="http://schemas.openxmlformats.org/officeDocument/2006/relationships/image" Target="media/image5.jpeg" TargetMode="External"/></Relationships>
</file>