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760" w:h="715" w:wrap="none" w:hAnchor="page" w:x="6406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ГКУ «УДМС»</w:t>
      </w:r>
    </w:p>
    <w:p>
      <w:pPr>
        <w:pStyle w:val="Style2"/>
        <w:keepNext w:val="0"/>
        <w:keepLines w:val="0"/>
        <w:framePr w:w="2760" w:h="715" w:wrap="none" w:hAnchor="page" w:x="6406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"mailto:UDMS-torg@str.mos.ru" </w:instrText>
      </w:r>
      <w:r>
        <w:fldChar w:fldCharType="separate"/>
      </w:r>
      <w:r>
        <w:rPr>
          <w:rStyle w:val="CharStyle3"/>
          <w:lang w:val="en-US" w:eastAsia="en-US"/>
        </w:rPr>
        <w:t>UDMS-torg@str.mos.ru</w:t>
      </w:r>
      <w:r>
        <w:fldChar w:fldCharType="end"/>
      </w:r>
    </w:p>
    <w:p>
      <w:pPr>
        <w:pStyle w:val="Style4"/>
        <w:keepNext w:val="0"/>
        <w:keepLines w:val="0"/>
        <w:framePr w:w="10037" w:h="5731" w:wrap="none" w:hAnchor="page" w:x="1333" w:y="961"/>
        <w:widowControl w:val="0"/>
        <w:shd w:val="clear" w:color="auto" w:fill="auto"/>
        <w:bidi w:val="0"/>
        <w:spacing w:before="0" w:after="0" w:line="240" w:lineRule="auto"/>
        <w:ind w:left="1160" w:right="0" w:firstLine="0"/>
        <w:jc w:val="left"/>
      </w:pPr>
      <w:r>
        <w:rPr>
          <w:rStyle w:val="CharStyle5"/>
          <w:b/>
          <w:bCs/>
        </w:rPr>
        <w:t>ФЕДЕРАЛЬНАЯ</w:t>
      </w:r>
    </w:p>
    <w:p>
      <w:pPr>
        <w:pStyle w:val="Style4"/>
        <w:keepNext w:val="0"/>
        <w:keepLines w:val="0"/>
        <w:framePr w:w="10037" w:h="5731" w:wrap="none" w:hAnchor="page" w:x="1333" w:y="961"/>
        <w:widowControl w:val="0"/>
        <w:shd w:val="clear" w:color="auto" w:fill="auto"/>
        <w:bidi w:val="0"/>
        <w:spacing w:before="0" w:after="200" w:line="240" w:lineRule="auto"/>
        <w:ind w:left="0" w:right="0" w:firstLine="280"/>
        <w:jc w:val="left"/>
      </w:pPr>
      <w:r>
        <w:rPr>
          <w:rStyle w:val="CharStyle5"/>
          <w:b/>
          <w:bCs/>
        </w:rPr>
        <w:t>АНТИМОНОПОЛЬНАЯ СЛУЖБА</w:t>
      </w:r>
    </w:p>
    <w:p>
      <w:pPr>
        <w:pStyle w:val="Style4"/>
        <w:keepNext w:val="0"/>
        <w:keepLines w:val="0"/>
        <w:framePr w:w="10037" w:h="5731" w:wrap="none" w:hAnchor="page" w:x="1333" w:y="961"/>
        <w:widowControl w:val="0"/>
        <w:shd w:val="clear" w:color="auto" w:fill="auto"/>
        <w:bidi w:val="0"/>
        <w:spacing w:before="0" w:after="200" w:line="240" w:lineRule="auto"/>
        <w:ind w:left="1160" w:right="0" w:firstLine="0"/>
        <w:jc w:val="left"/>
      </w:pPr>
      <w:r>
        <w:rPr>
          <w:rStyle w:val="CharStyle5"/>
          <w:b/>
          <w:bCs/>
        </w:rPr>
        <w:t>УПРАВЛЕНИЕ</w:t>
      </w:r>
    </w:p>
    <w:p>
      <w:pPr>
        <w:pStyle w:val="Style4"/>
        <w:keepNext w:val="0"/>
        <w:keepLines w:val="0"/>
        <w:framePr w:w="10037" w:h="5731" w:wrap="none" w:hAnchor="page" w:x="1333" w:y="961"/>
        <w:widowControl w:val="0"/>
        <w:shd w:val="clear" w:color="auto" w:fill="auto"/>
        <w:bidi w:val="0"/>
        <w:spacing w:before="0" w:after="200" w:line="240" w:lineRule="auto"/>
        <w:ind w:left="1320" w:right="0" w:firstLine="0"/>
        <w:jc w:val="left"/>
      </w:pPr>
      <w:r>
        <w:rPr>
          <w:rStyle w:val="CharStyle5"/>
          <w:b/>
          <w:bCs/>
        </w:rPr>
        <w:t>по г. Москве</w:t>
      </w:r>
    </w:p>
    <w:p>
      <w:pPr>
        <w:pStyle w:val="Style4"/>
        <w:keepNext w:val="0"/>
        <w:keepLines w:val="0"/>
        <w:framePr w:w="10037" w:h="5731" w:wrap="none" w:hAnchor="page" w:x="1333" w:y="961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r>
        <w:rPr>
          <w:rStyle w:val="CharStyle5"/>
        </w:rPr>
        <w:t>Мясницкий проезд, д.4, стр. 1</w:t>
      </w:r>
    </w:p>
    <w:p>
      <w:pPr>
        <w:pStyle w:val="Style4"/>
        <w:keepNext w:val="0"/>
        <w:keepLines w:val="0"/>
        <w:framePr w:w="10037" w:h="5731" w:wrap="none" w:hAnchor="page" w:x="1333" w:y="961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5"/>
        </w:rPr>
        <w:t>107078, г. Москва,</w:t>
      </w:r>
    </w:p>
    <w:p>
      <w:pPr>
        <w:pStyle w:val="Style4"/>
        <w:keepNext w:val="0"/>
        <w:keepLines w:val="0"/>
        <w:framePr w:w="10037" w:h="5731" w:wrap="none" w:hAnchor="page" w:x="1333" w:y="96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 xml:space="preserve">тел. (495) 784-75-05, факс (495) 607-49-29 факс (495) 607-42-92, </w:t>
      </w:r>
      <w:r>
        <w:rPr>
          <w:rStyle w:val="CharStyle5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5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8"/>
        <w:keepNext/>
        <w:keepLines/>
        <w:framePr w:w="10037" w:h="5731" w:wrap="none" w:hAnchor="page" w:x="1333" w:y="961"/>
        <w:widowControl w:val="0"/>
        <w:shd w:val="clear" w:color="auto" w:fill="auto"/>
        <w:bidi w:val="0"/>
        <w:spacing w:before="0" w:after="200" w:line="240" w:lineRule="auto"/>
        <w:ind w:left="1780" w:right="0" w:firstLine="0"/>
        <w:jc w:val="left"/>
      </w:pPr>
      <w:bookmarkStart w:id="0" w:name="bookmark0"/>
      <w:r>
        <w:rPr>
          <w:rStyle w:val="CharStyle9"/>
        </w:rPr>
        <w:t>№ 36132/25</w:t>
      </w:r>
      <w:bookmarkEnd w:id="0"/>
    </w:p>
    <w:p>
      <w:pPr>
        <w:pStyle w:val="Style2"/>
        <w:keepNext w:val="0"/>
        <w:keepLines w:val="0"/>
        <w:framePr w:w="10037" w:h="5731" w:wrap="none" w:hAnchor="page" w:x="1333" w:y="961"/>
        <w:widowControl w:val="0"/>
        <w:shd w:val="clear" w:color="auto" w:fill="auto"/>
        <w:tabs>
          <w:tab w:leader="underscore" w:pos="3796" w:val="left"/>
        </w:tabs>
        <w:bidi w:val="0"/>
        <w:spacing w:before="0" w:after="620" w:line="240" w:lineRule="auto"/>
        <w:ind w:left="1780" w:right="0" w:firstLine="0"/>
        <w:jc w:val="left"/>
      </w:pPr>
      <w:r>
        <w:rPr>
          <w:rStyle w:val="CharStyle3"/>
          <w:color w:val="46609B"/>
        </w:rPr>
        <w:t xml:space="preserve">ОТ </w:t>
        <w:tab/>
      </w:r>
    </w:p>
    <w:p>
      <w:pPr>
        <w:pStyle w:val="Style2"/>
        <w:keepNext w:val="0"/>
        <w:keepLines w:val="0"/>
        <w:framePr w:w="10037" w:h="5731" w:wrap="none" w:hAnchor="page" w:x="1333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РЕШЕНИЕ</w:t>
      </w:r>
    </w:p>
    <w:p>
      <w:pPr>
        <w:pStyle w:val="Style2"/>
        <w:keepNext w:val="0"/>
        <w:keepLines w:val="0"/>
        <w:framePr w:w="10037" w:h="5731" w:wrap="none" w:hAnchor="page" w:x="1333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по делу № 077/06/106-11118/2025 о нарушении</w:t>
        <w:br/>
        <w:t>законодательства о контрактной системе</w:t>
        <w:br/>
        <w:t>г. Москва</w:t>
      </w:r>
    </w:p>
    <w:p>
      <w:pPr>
        <w:pStyle w:val="Style2"/>
        <w:keepNext w:val="0"/>
        <w:keepLines w:val="0"/>
        <w:framePr w:w="10037" w:h="5731" w:wrap="none" w:hAnchor="page" w:x="1333" w:y="961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r>
        <w:rPr>
          <w:rStyle w:val="CharStyle3"/>
        </w:rPr>
        <w:t>по контролю в сфере закупок товаров, работ, услуг Управления</w:t>
      </w:r>
    </w:p>
    <w:p>
      <w:pPr>
        <w:pStyle w:val="Style2"/>
        <w:keepNext w:val="0"/>
        <w:keepLines w:val="0"/>
        <w:framePr w:w="3850" w:h="1042" w:wrap="none" w:hAnchor="page" w:x="6406" w:y="1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Департамент города Москвы по конкурентной политике </w:t>
      </w:r>
      <w:r>
        <w:fldChar w:fldCharType="begin"/>
      </w:r>
      <w:r>
        <w:rPr/>
        <w:instrText> HYPERLINK "mailto:mostender@mos.ru" </w:instrText>
      </w:r>
      <w:r>
        <w:fldChar w:fldCharType="separate"/>
      </w:r>
      <w:r>
        <w:rPr>
          <w:rStyle w:val="CharStyle3"/>
          <w:lang w:val="en-US" w:eastAsia="en-US"/>
        </w:rPr>
        <w:t>mostender@mos.ru</w:t>
      </w:r>
      <w:r>
        <w:fldChar w:fldCharType="end"/>
      </w:r>
    </w:p>
    <w:p>
      <w:pPr>
        <w:pStyle w:val="Style8"/>
        <w:keepNext/>
        <w:keepLines/>
        <w:framePr w:w="1915" w:h="878" w:wrap="none" w:hAnchor="page" w:x="1136" w:y="3491"/>
        <w:widowControl w:val="0"/>
        <w:shd w:val="clear" w:color="auto" w:fill="auto"/>
        <w:bidi w:val="0"/>
        <w:spacing w:before="0" w:after="260" w:line="240" w:lineRule="auto"/>
        <w:ind w:left="0" w:right="0" w:firstLine="14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2" w:name="bookmark2"/>
      <w:r>
        <w:rPr>
          <w:rStyle w:val="CharStyle9"/>
          <w:u w:val="none"/>
        </w:rPr>
        <w:t>09.092025</w:t>
      </w:r>
      <w:bookmarkEnd w:id="2"/>
      <w:r>
        <w:fldChar w:fldCharType="end"/>
      </w:r>
    </w:p>
    <w:p>
      <w:pPr>
        <w:pStyle w:val="Style4"/>
        <w:keepNext w:val="0"/>
        <w:keepLines w:val="0"/>
        <w:framePr w:w="1915" w:h="878" w:wrap="none" w:hAnchor="page" w:x="1136" w:y="3491"/>
        <w:widowControl w:val="0"/>
        <w:shd w:val="clear" w:color="auto" w:fill="auto"/>
        <w:tabs>
          <w:tab w:leader="underscore" w:pos="18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 xml:space="preserve">На№ </w:t>
        <w:tab/>
      </w:r>
    </w:p>
    <w:p>
      <w:pPr>
        <w:pStyle w:val="Style2"/>
        <w:keepNext w:val="0"/>
        <w:keepLines w:val="0"/>
        <w:framePr w:w="1949" w:h="725" w:wrap="none" w:hAnchor="page" w:x="1117" w:y="5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04.09.2025</w:t>
      </w:r>
    </w:p>
    <w:p>
      <w:pPr>
        <w:pStyle w:val="Style2"/>
        <w:keepNext w:val="0"/>
        <w:keepLines w:val="0"/>
        <w:framePr w:w="1949" w:h="725" w:wrap="none" w:hAnchor="page" w:x="1117" w:y="5967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Комиссия</w:t>
      </w:r>
    </w:p>
    <w:p>
      <w:pPr>
        <w:pStyle w:val="Style2"/>
        <w:keepNext w:val="0"/>
        <w:keepLines w:val="0"/>
        <w:framePr w:w="3701" w:h="720" w:wrap="none" w:hAnchor="page" w:x="6406" w:y="3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ООО «Компания «Потенциал»</w:t>
      </w:r>
    </w:p>
    <w:p>
      <w:pPr>
        <w:pStyle w:val="Style2"/>
        <w:keepNext w:val="0"/>
        <w:keepLines w:val="0"/>
        <w:framePr w:w="3701" w:h="720" w:wrap="none" w:hAnchor="page" w:x="6406" w:y="3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"mailto:401577tender@mail.ru" </w:instrText>
      </w:r>
      <w:r>
        <w:fldChar w:fldCharType="separate"/>
      </w:r>
      <w:r>
        <w:rPr>
          <w:rStyle w:val="CharStyle3"/>
          <w:lang w:val="en-US" w:eastAsia="en-US"/>
        </w:rPr>
        <w:t>401577tender@mail.ru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532" w:bottom="655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Федеральной антимонопольной службы по г. Москве (далее –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Председательствующего — главного государственного инспектора отдела об</w:t>
        <w:softHyphen/>
        <w:t>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рассмотрение жалобы проводилось дистанционно (посредством видеоконференцсвязи),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при участии представителей: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Департамента города Москвы по конкурентной политике: А.А. Арзуманян (по дов. от 14.01.2025 №77-13-1/25-6), участвующая до и после переноса заседания,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ГКУ «УДМС»: С.Н. Пивоварова (по дов. от 02.09.2025 №УДМС-31-445/25), участвующий до и после переноса заседания,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ООО «Компания «Потенциал»: Р.А. Самойлова (по дов. от 02.09.2025 №38), участвующая после переноса заседания,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рассмотрев жалобу ООО «Компания «Потенциал» (далее — Заявитель) на действия ГКУ «УДМС» (далее — Заказчик) при проведении открытого конкурса в электронной форме на право заключения государственного контракта на выполнение проектно-изыскательских работ и работ по строительству объекта капитального строительства «Технологическая часть ТПУ на станции метро «Петровско-Разумовская». 1 этап» (Закупка №0173200001425000678) (далее – конкурс, электронный конкурс) в соответствии с Федеральным законом от 05.04.2013 №44-ФЗ «О контрактной системе в сфере закупок товаров, работ, услуг</w:t>
      </w:r>
    </w:p>
    <w:p>
      <w:pPr>
        <w:widowControl w:val="0"/>
        <w:spacing w:after="456" w:line="1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3"/>
        </w:rPr>
        <w:t xml:space="preserve">для обеспечения государственных и муниципальных нужд»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На заседание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В составе жалобы Заявитель указывает на нарушения в действиях Заказчика, выразившихся в размещении отказа от заключения государственного контракта с единственным поставщиком в связи с непредставлением подателем жалобы соответствующего обеспечения исполнения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На основании ч.20 ст.48 Закона о контрактной системе если электронный конкурс признан несостоявшимся в случаях, предусмотренных ч.1 ст.52 Закона о контрактной системе, такой конкурс проводится с учетом особенностей, установленных ч.2 </w:t>
      </w:r>
      <w:r>
        <w:rPr>
          <w:rStyle w:val="CharStyle3"/>
          <w:lang w:val="en-US" w:eastAsia="en-US"/>
        </w:rPr>
        <w:t xml:space="preserve">- 4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7 </w:t>
      </w:r>
      <w:r>
        <w:rPr>
          <w:rStyle w:val="CharStyle3"/>
        </w:rPr>
        <w:t>ст.52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В соответствии с ч.1 ст.52 Закона о контрактной системе открытый конкурентный способ признается несостоявшимся в следующих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по окончании срока подачи заявок на участие в закупке подана только одна заявка на участие в закупке;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по результатам рассмотрения заявок на участие в закупке только одна заявка на участие в закупке соответствует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по окончании срока подачи заявок на участие в закупке не подано ни одной заявки на участие в закупке;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по результатам рассмотрения заявок на участие в закупке комиссия по осуществлению закупок отклонила все такие заявки;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все участники закупки, не отозвавшие в соответствии с настоящим Федеральным законом заявку на участие в закупке, признаны уклонившимися от заключения контракта в соответствии с настоящим Федеральным законом;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заказчик в соответствии с ч.9 и </w:t>
      </w:r>
      <w:r>
        <w:rPr>
          <w:rStyle w:val="CharStyle3"/>
          <w:lang w:val="en-US" w:eastAsia="en-US"/>
        </w:rPr>
        <w:t xml:space="preserve">10 </w:t>
      </w:r>
      <w:r>
        <w:rPr>
          <w:rStyle w:val="CharStyle3"/>
        </w:rPr>
        <w:t>ст.31 Закона о контрактной системе отказался от заключения контракта с участником закупки, подавшим заявку на участие в закупке, которая является единственной, либо с участником закупки, подавшим заявку на участие в закупке, признанную в соответствии с настоящим Федеральным законом единственной соответствующей требованиям, установленным в извещении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rStyle w:val="CharStyle3"/>
        </w:rPr>
        <w:t xml:space="preserve">Согласно пп. «а» 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11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48 </w:t>
      </w:r>
      <w:r>
        <w:rPr>
          <w:rStyle w:val="CharStyle3"/>
        </w:rPr>
        <w:t xml:space="preserve">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10 </w:t>
      </w:r>
      <w:r>
        <w:rPr>
          <w:rStyle w:val="CharStyle3"/>
        </w:rPr>
        <w:t>Закона о контрактной системе, но не позднее даты окончания срока рассмотрения и оценки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ч.10 ст. </w:t>
      </w:r>
      <w:r>
        <w:rPr>
          <w:rStyle w:val="CharStyle3"/>
          <w:lang w:val="en-US" w:eastAsia="en-US"/>
        </w:rPr>
        <w:t xml:space="preserve">48 </w:t>
      </w:r>
      <w:r>
        <w:rPr>
          <w:rStyle w:val="CharStyle3"/>
        </w:rPr>
        <w:t>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непредставления информации и документов, предусмотренных п.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31 </w:t>
      </w:r>
      <w:r>
        <w:rPr>
          <w:rStyle w:val="CharStyle3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3"/>
          <w:lang w:val="en-US" w:eastAsia="en-US"/>
        </w:rPr>
        <w:t xml:space="preserve">1.1, 2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2.1 </w:t>
      </w:r>
      <w:r>
        <w:rPr>
          <w:rStyle w:val="CharStyle3"/>
        </w:rPr>
        <w:t xml:space="preserve">(при наличии таких требований) ст. </w:t>
      </w:r>
      <w:r>
        <w:rPr>
          <w:rStyle w:val="CharStyle3"/>
          <w:lang w:val="en-US" w:eastAsia="en-US"/>
        </w:rPr>
        <w:t xml:space="preserve">31 </w:t>
      </w:r>
      <w:r>
        <w:rPr>
          <w:rStyle w:val="CharStyle3"/>
        </w:rPr>
        <w:t>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предусмотренных пп. «а» 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4, </w:t>
      </w:r>
      <w:r>
        <w:rPr>
          <w:rStyle w:val="CharStyle3"/>
        </w:rPr>
        <w:t xml:space="preserve">пп. «а» 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5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>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непредставления информации и документов, предусмотренных п. </w:t>
      </w:r>
      <w:r>
        <w:rPr>
          <w:rStyle w:val="CharStyle3"/>
          <w:lang w:val="en-US" w:eastAsia="en-US"/>
        </w:rPr>
        <w:t xml:space="preserve">5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43 </w:t>
      </w:r>
      <w:r>
        <w:rPr>
          <w:rStyle w:val="CharStyle3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выявления отнесения участника закупки к организациям, предусмотренным п. </w:t>
      </w:r>
      <w:r>
        <w:rPr>
          <w:rStyle w:val="CharStyle3"/>
          <w:lang w:val="en-US" w:eastAsia="en-US"/>
        </w:rPr>
        <w:t xml:space="preserve">4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Федерального закона от </w:t>
      </w:r>
      <w:r>
        <w:rPr>
          <w:rStyle w:val="CharStyle3"/>
          <w:lang w:val="en-US" w:eastAsia="en-US"/>
        </w:rPr>
        <w:t xml:space="preserve">4 </w:t>
      </w:r>
      <w:r>
        <w:rPr>
          <w:rStyle w:val="CharStyle3"/>
        </w:rPr>
        <w:t xml:space="preserve">июня </w:t>
      </w:r>
      <w:r>
        <w:rPr>
          <w:rStyle w:val="CharStyle3"/>
          <w:lang w:val="en-US" w:eastAsia="en-US"/>
        </w:rPr>
        <w:t xml:space="preserve">2018 </w:t>
      </w:r>
      <w:r>
        <w:rPr>
          <w:rStyle w:val="CharStyle3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предусмотренных ч.6 ст. </w:t>
      </w:r>
      <w:r>
        <w:rPr>
          <w:rStyle w:val="CharStyle3"/>
          <w:lang w:val="en-US" w:eastAsia="en-US"/>
        </w:rPr>
        <w:t xml:space="preserve">45 </w:t>
      </w:r>
      <w:r>
        <w:rPr>
          <w:rStyle w:val="CharStyle3"/>
        </w:rPr>
        <w:t>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выявления недостоверной информации, содержащейся в заявке на участие в закупке;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указания информации о предложении участника закупки, предусмотренном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п.3 или п.4 ч.1 ст.43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ходе рассмотрения жалобы Комиссией Управления установлено, что согласно протоколу подведения итогов определения поставщика (подрядчика, исполнителя) от </w:t>
      </w:r>
      <w:r>
        <w:rPr>
          <w:rStyle w:val="CharStyle3"/>
          <w:lang w:val="en-US" w:eastAsia="en-US"/>
        </w:rPr>
        <w:t xml:space="preserve">10.07.2025 </w:t>
      </w:r>
      <w:r>
        <w:rPr>
          <w:rStyle w:val="CharStyle3"/>
        </w:rPr>
        <w:t xml:space="preserve">№ИЭОК1 заявка участника закупки ООО «Компания «Потенциал» с идентификационным номером </w:t>
      </w:r>
      <w:r>
        <w:rPr>
          <w:rStyle w:val="CharStyle3"/>
          <w:lang w:val="en-US" w:eastAsia="en-US"/>
        </w:rPr>
        <w:t xml:space="preserve">2114584 </w:t>
      </w:r>
      <w:r>
        <w:rPr>
          <w:rStyle w:val="CharStyle3"/>
        </w:rPr>
        <w:t>отклонена в частности на следующем основании: «</w:t>
      </w:r>
      <w:r>
        <w:rPr>
          <w:rStyle w:val="CharStyle3"/>
          <w:i/>
          <w:iCs/>
        </w:rPr>
        <w:t xml:space="preserve">Участником в составе заявки (дополнительные сведения) для подтверждения соответствия участника закупки дополнительным требованиям представлен договор от </w:t>
      </w:r>
      <w:r>
        <w:rPr>
          <w:rStyle w:val="CharStyle3"/>
          <w:i/>
          <w:iCs/>
          <w:lang w:val="en-US" w:eastAsia="en-US"/>
        </w:rPr>
        <w:t xml:space="preserve">04.07.2022, </w:t>
      </w:r>
      <w:r>
        <w:rPr>
          <w:rStyle w:val="CharStyle3"/>
          <w:i/>
          <w:iCs/>
        </w:rPr>
        <w:t>по которому отсутствует разрешение на ввод объекта капитального строительства в эксплуатацию, при этом работы, являющиеся объектом закупки,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</w:t>
      </w:r>
      <w:r>
        <w:rPr>
          <w:rStyle w:val="CharStyle3"/>
        </w:rPr>
        <w:t>», в связи с чем конкурс признан несостоявшейся.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 заседании Комиссии Управления представитель Заказчика пояснил, что в силу п.25 ч.1 ст.93 Закона о контрактной системе закупка у единственного поставщика (подрядчика, исполнителя) может осуществляться заказчиком случае заключение контракта в соответствии с п.6 ч.2, п.6 ч.3, п.2 ч.4, ч.5, </w:t>
      </w:r>
      <w:r>
        <w:rPr>
          <w:rStyle w:val="CharStyle3"/>
          <w:lang w:val="en-US" w:eastAsia="en-US"/>
        </w:rPr>
        <w:t xml:space="preserve">6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8 </w:t>
      </w:r>
      <w:r>
        <w:rPr>
          <w:rStyle w:val="CharStyle3"/>
        </w:rPr>
        <w:t>ст.52 Закона о контрактной системе в случае признания определения поставщика (подрядчика, исполнителя) несостоявшимся в соответствии с Законом о контрактной системе. При этом контракт заключается в соответствии с требованиями ч.5 ст.93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П.1 ч.5 ст.93 Закона о контрактной системе установлено, что заключение контракта с единственным поставщиком (подрядчиком, исполнителем) в случае признания определения поставщика (подрядчика, исполнителя) несостоявшимся осуществляется в соответствии с п.24 и </w:t>
      </w:r>
      <w:r>
        <w:rPr>
          <w:rStyle w:val="CharStyle3"/>
          <w:lang w:val="en-US" w:eastAsia="en-US"/>
        </w:rPr>
        <w:t xml:space="preserve">25 </w:t>
      </w:r>
      <w:r>
        <w:rPr>
          <w:rStyle w:val="CharStyle3"/>
        </w:rPr>
        <w:t>ч.1 ст.93 Закона о контрактной системе на условиях, предусмотренных извещением об осуществлении закупки (если Законом о контрактной системе предусмотрено извещение об осуществлении закупки), документацией о закупке (если Законом о контрактной системе предусмотрена документация о закупке).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lang w:val="en-US" w:eastAsia="en-US"/>
        </w:rPr>
        <w:t xml:space="preserve">07.2025 </w:t>
      </w:r>
      <w:r>
        <w:rPr>
          <w:rStyle w:val="CharStyle3"/>
        </w:rPr>
        <w:t>Заказчиком в адрес Заявителя направлено приглашение заключения государственного контракта в соответствии с положениями п.25 ч.1 ст.93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Таким образом заключение контракта осуществляется не в рамках конкурентной процедуры или условий ч.12 ст.93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ч.1 ст.105 Закона о контрактной системе. при проведении конкурентных способов, при осуществлении закупки, </w:t>
      </w:r>
      <w:r>
        <w:rPr>
          <w:rStyle w:val="CharStyle3"/>
          <w:b/>
          <w:bCs/>
        </w:rPr>
        <w:t>осуществляемой в соответствии с ч.12 ст.93 Закона о контрактной системе</w:t>
      </w:r>
      <w:r>
        <w:rPr>
          <w:rStyle w:val="CharStyle3"/>
        </w:rPr>
        <w:t xml:space="preserve">, участник закупки в соответствии с законодательством Российской Федерации имеет право обжаловать в судебном порядке или в порядке, установленном главой </w:t>
      </w:r>
      <w:r>
        <w:rPr>
          <w:rStyle w:val="CharStyle3"/>
          <w:lang w:val="en-US" w:eastAsia="en-US"/>
        </w:rPr>
        <w:t xml:space="preserve">6, </w:t>
      </w:r>
      <w:r>
        <w:rPr>
          <w:rStyle w:val="CharStyle3"/>
        </w:rPr>
        <w:t>в контрольный орган в сфере закупок действия (бездействие) субъекта (субъектов) контроля, если такие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Таким образом данная жалоба не соответствует ч.1 ст.105 Закона о контрактной системе и не может быть рассмотрена по существу в порядке Главы </w:t>
      </w:r>
      <w:r>
        <w:rPr>
          <w:rStyle w:val="CharStyle3"/>
          <w:lang w:val="en-US" w:eastAsia="en-US"/>
        </w:rPr>
        <w:t xml:space="preserve">6 </w:t>
      </w:r>
      <w:r>
        <w:rPr>
          <w:rStyle w:val="CharStyle3"/>
        </w:rPr>
        <w:t>Закона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РЕШИЛА: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Жалоба ООО «Компания «Потенциал» на действия ГКУ «УДМС» оставить без рассмотрения.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1" w:val="left"/>
        </w:tabs>
        <w:bidi w:val="0"/>
        <w:spacing w:before="0" w:after="240" w:line="240" w:lineRule="auto"/>
        <w:ind w:left="0" w:right="0" w:firstLine="560"/>
        <w:jc w:val="both"/>
      </w:pPr>
      <w:r>
        <w:rPr>
          <w:rStyle w:val="CharStyle3"/>
        </w:rPr>
        <w:t>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3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(трех) месяцев с даты его принятия в порядке, установленном гл. </w:t>
      </w:r>
      <w:r>
        <w:rPr>
          <w:rStyle w:val="CharStyle3"/>
          <w:lang w:val="en-US" w:eastAsia="en-US"/>
        </w:rPr>
        <w:t xml:space="preserve">24 </w:t>
      </w:r>
      <w:r>
        <w:rPr>
          <w:rStyle w:val="CharStyle3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0" w:bottom="1157" w:left="108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167640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pt;margin-top:26.pt;width:145.20000000000002pt;height:19.900000000000002pt;z-index:-125829375;mso-wrap-distance-left:0;mso-wrap-distance-top:26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1490" distB="0" distL="0" distR="0" simplePos="0" relativeHeight="125829380" behindDoc="0" locked="0" layoutInCell="1" allowOverlap="1">
                <wp:simplePos x="0" y="0"/>
                <wp:positionH relativeFrom="page">
                  <wp:posOffset>3357880</wp:posOffset>
                </wp:positionH>
                <wp:positionV relativeFrom="paragraph">
                  <wp:posOffset>491490</wp:posOffset>
                </wp:positionV>
                <wp:extent cx="1722120" cy="25908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4.39999999999998pt;margin-top:38.700000000000003pt;width:135.59999999999999pt;height:20.400000000000002pt;z-index:-125829373;mso-wrap-distance-left:0;mso-wrap-distance-top:38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167640" distL="0" distR="0" simplePos="0" relativeHeight="125829382" behindDoc="0" locked="0" layoutInCell="1" allowOverlap="1">
                <wp:simplePos x="0" y="0"/>
                <wp:positionH relativeFrom="page">
                  <wp:posOffset>5899785</wp:posOffset>
                </wp:positionH>
                <wp:positionV relativeFrom="paragraph">
                  <wp:posOffset>330200</wp:posOffset>
                </wp:positionV>
                <wp:extent cx="1307465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4.55000000000001pt;margin-top:26.pt;width:102.95pt;height:19.900000000000002pt;z-index:-125829371;mso-wrap-distance-left:0;mso-wrap-distance-top:26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260" w:right="0" w:firstLine="0"/>
        <w:jc w:val="left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67950889C45403E5BD9EBC88A8D80C0D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4"/>
        </w:rPr>
        <w:t xml:space="preserve">Действителен с 19.05.2025 </w:t>
      </w:r>
      <w:r>
        <w:rPr>
          <w:rStyle w:val="CharStyle24"/>
          <w:color w:val="555555"/>
        </w:rPr>
        <w:t xml:space="preserve">по </w:t>
      </w:r>
      <w:r>
        <w:rPr>
          <w:rStyle w:val="CharStyle24"/>
        </w:rPr>
        <w:t>12.08.2026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2937510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3397885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7.55000000000001pt;margin-top:36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3357880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4.39999999999998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"/>
        </w:rPr>
        <w:t>А.А. Матюшенко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Матюшенко Александр Александрович</w:t>
      </w:r>
      <w:r>
        <w:rPr>
          <w:rStyle w:val="CharStyle24"/>
          <w:color w:val="000000"/>
        </w:rPr>
        <w:t xml:space="preserve"> </w:t>
      </w: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4F595A5C3E5ABB2DD77161F08559FC07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20"/>
        <w:jc w:val="left"/>
      </w:pPr>
      <w:r>
        <w:rPr>
          <w:rStyle w:val="CharStyle24"/>
        </w:rPr>
        <w:t xml:space="preserve">Действителен с 22.07.2025 </w:t>
      </w:r>
      <w:r>
        <w:rPr>
          <w:rStyle w:val="CharStyle24"/>
          <w:color w:val="555555"/>
        </w:rPr>
        <w:t xml:space="preserve">по </w:t>
      </w:r>
      <w:r>
        <w:rPr>
          <w:rStyle w:val="CharStyle24"/>
        </w:rPr>
        <w:t>15.10.2026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18970" simplePos="0" relativeHeight="125829385" behindDoc="0" locked="0" layoutInCell="1" allowOverlap="1">
            <wp:simplePos x="0" y="0"/>
            <wp:positionH relativeFrom="page">
              <wp:posOffset>2961640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3357880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4.39999999999998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"/>
        </w:rPr>
        <w:t>М.В. Сорбучева</w: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260" w:right="0" w:firstLine="0"/>
        <w:jc w:val="left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</w:t>
      </w:r>
      <w:r>
        <w:rPr>
          <w:rStyle w:val="CharStyle24"/>
          <w:color w:val="555555"/>
        </w:rPr>
        <w:t xml:space="preserve">выдан: </w:t>
      </w:r>
      <w:r>
        <w:rPr>
          <w:rStyle w:val="CharStyle24"/>
          <w:color w:val="000000"/>
        </w:rPr>
        <w:t>Сорбучева Мария Васильевна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00F3B71218F970424B4D41C7997434F304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rStyle w:val="CharStyle24"/>
        </w:rPr>
        <w:t xml:space="preserve">Действителен с 19.09.2024 </w:t>
      </w:r>
      <w:r>
        <w:rPr>
          <w:rStyle w:val="CharStyle24"/>
          <w:color w:val="555555"/>
        </w:rPr>
        <w:t>по 13.12.2025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9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41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2025-40860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00000000000004pt;margin-top:794.70000000000005pt;width:56.899999999999999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2025-40860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  <w:lang w:val="ru-RU" w:eastAsia="ru-RU"/>
                            </w:rPr>
                            <w:t>2025-40860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30000000000007pt;width:57.850000000000001pt;height:9.8499999999999996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  <w:lang w:val="ru-RU" w:eastAsia="ru-RU"/>
                      </w:rPr>
                      <w:t>2025-40860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4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30000000000001pt;margin-top:37.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4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7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9">
    <w:name w:val="Heading #1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Body text (4)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9">
    <w:name w:val="Body text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  <w:spacing w:after="100"/>
      <w:ind w:left="5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8">
    <w:name w:val="Heading #1"/>
    <w:basedOn w:val="Normal"/>
    <w:link w:val="CharStyle9"/>
    <w:pPr>
      <w:widowControl w:val="0"/>
      <w:shd w:val="clear" w:color="auto" w:fill="auto"/>
      <w:spacing w:after="230"/>
      <w:ind w:left="890" w:firstLine="7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Body text (4)"/>
    <w:basedOn w:val="Normal"/>
    <w:link w:val="CharStyle17"/>
    <w:pPr>
      <w:widowControl w:val="0"/>
      <w:shd w:val="clear" w:color="auto" w:fill="auto"/>
      <w:spacing w:after="40"/>
      <w:ind w:left="213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5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8">
    <w:name w:val="Body text (5)"/>
    <w:basedOn w:val="Normal"/>
    <w:link w:val="CharStyle29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