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Вологодской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6"/>
        </w:rPr>
        <w:t>ул. Пушкинская, 2 5, г. Вологда, 160000</w:t>
        <w:br/>
        <w:t>тел. (8172) 72-99-70, (499) 755-23-23 (доб. 035-103)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"mailto:to35@fas.gov.ru" </w:instrText>
      </w:r>
      <w:r>
        <w:fldChar w:fldCharType="separate"/>
      </w:r>
      <w:r>
        <w:rPr>
          <w:rStyle w:val="CharStyle6"/>
          <w:lang w:val="en-US" w:eastAsia="en-US"/>
        </w:rPr>
        <w:t>to35@fas.gov.ru</w:t>
      </w:r>
      <w:r>
        <w:fldChar w:fldCharType="end"/>
      </w:r>
      <w:r>
        <w:rPr>
          <w:rStyle w:val="CharStyle6"/>
          <w:lang w:val="en-US" w:eastAsia="en-US"/>
        </w:rPr>
        <w:br/>
      </w:r>
      <w:r>
        <w:fldChar w:fldCharType="begin"/>
      </w:r>
      <w:r>
        <w:rPr/>
        <w:instrText> HYPERLINK "https://vologda.fas.gov.ru" </w:instrText>
      </w:r>
      <w:r>
        <w:fldChar w:fldCharType="separate"/>
      </w:r>
      <w:r>
        <w:rPr>
          <w:rStyle w:val="CharStyle6"/>
          <w:lang w:val="en-US" w:eastAsia="en-US"/>
        </w:rPr>
        <w:t>https://vologda.fas.gov.ru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1"/>
        </w:rPr>
        <w:t>08.09.2025</w:t>
      </w:r>
      <w:r>
        <w:fldChar w:fldCharType="end"/>
      </w:r>
      <w:r>
        <w:rPr>
          <w:rStyle w:val="CharStyle11"/>
        </w:rPr>
        <w:tab/>
        <w:t>№ 3526/25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66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14"/>
          <w:sz w:val="22"/>
          <w:szCs w:val="22"/>
        </w:rPr>
        <w:t>РЕШЕНИЕ № 035/06/105-736/2025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17"/>
          <w:b/>
          <w:bCs/>
        </w:rPr>
        <w:t>Заявитель:</w:t>
      </w:r>
      <w:bookmarkEnd w:id="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4"/>
        </w:rPr>
        <w:t>ООО «ПРОЕКТМАСТЕР»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7"/>
          <w:b/>
          <w:bCs/>
        </w:rPr>
        <w:t>Заказчик:</w:t>
      </w:r>
      <w:bookmarkEnd w:id="4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ФЕДЕРАЛЬНОЕ КАЗЕННОЕ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4"/>
        </w:rPr>
        <w:t>УЧРЕЖДЕНИЕ «УПРАВЛЕНИЕ АВТОМОБИЛЬНОЙ МАГИСТРАЛИ МОСКВА-АРХАНГЕЛЬСК ФЕДЕРАЛЬНОГО ДОРОЖНОГО АГЕНТСТВА»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rStyle w:val="CharStyle17"/>
          <w:b/>
          <w:bCs/>
        </w:rPr>
        <w:t>Оператор электронной площадки:</w:t>
      </w:r>
      <w:bookmarkEnd w:id="6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1443" w:bottom="1313" w:left="1125" w:header="0" w:footer="3" w:gutter="0"/>
          <w:pgNumType w:start="1"/>
          <w:cols w:num="2" w:space="1148"/>
          <w:noEndnote/>
          <w:titlePg/>
          <w:rtlGutter w:val="0"/>
          <w:docGrid w:linePitch="360"/>
        </w:sectPr>
      </w:pPr>
      <w:r>
        <w:rPr>
          <w:rStyle w:val="CharStyle14"/>
        </w:rPr>
        <w:t>АО «ЕЭТП»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2" w:after="11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57" w:right="0" w:bottom="123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8" w:name="bookmark8"/>
      <w:r>
        <w:rPr>
          <w:rStyle w:val="CharStyle17"/>
          <w:b/>
          <w:bCs/>
        </w:rPr>
        <w:t>РЕШЕНИЕ № 035/06/105-736/2025</w:t>
      </w:r>
      <w:bookmarkEnd w:id="8"/>
    </w:p>
    <w:p>
      <w:pPr>
        <w:pStyle w:val="Style13"/>
        <w:keepNext w:val="0"/>
        <w:keepLines w:val="0"/>
        <w:widowControl w:val="0"/>
        <w:shd w:val="clear" w:color="auto" w:fill="auto"/>
        <w:tabs>
          <w:tab w:pos="9062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Style w:val="CharStyle14"/>
        </w:rPr>
        <w:t>«03» сентября 2025 г.</w:t>
        <w:tab/>
        <w:t>г. Вологда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Комиссия по контролю в сфере закупок Управления Федеральной антимонопольной службы по Вологодской области (далее – комиссия Управления)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Кошманов П.Э. – председатель комиссии Управления, руководитель Управления Федеральной антимонопольной службы по Вологодской области,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Смышляева И.А. – член комиссии Управления, начальник отдела контроля органов власти и закупок Управления Федеральной антимонопольной службы по Вологодской области,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Добровольский А.А. – член комиссии Управления, ведущий специалист-эксперт отдела контроля органов власти и закупок Управления Федеральной антимонопольной службы по Вологодской области,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рассмотрев с использованием видеоконференц-связи жалобу ООО «ПРОЕКТМАСТЕР» (далее – Заявитель) на положения извещения о проведении открытого конкурса в электронной форме, предмет закупки – проектные и изыскательские работы на капитальный ремонт искусственных сооружений на участке км 8+120 - км 8+323 автомобильной дороги М-8 "Холмогоры" Москва - Ярославль - Вологда - Архангельск, обход г.Переславль-Залесский, Ярославская область, извещение № </w:t>
      </w:r>
      <w:r>
        <w:rPr>
          <w:rStyle w:val="CharStyle14"/>
          <w:color w:val="2B2B2B"/>
        </w:rPr>
        <w:t xml:space="preserve">0330100010525000035 </w:t>
      </w:r>
      <w:r>
        <w:rPr>
          <w:rStyle w:val="CharStyle14"/>
        </w:rPr>
        <w:t>(далее – конкурс, закупка), Заказчик – ФЕДЕРАЛЬНОЕ КАЗЕННОЕ УЧРЕЖДЕНИЕ «УПРАВЛЕНИЕ АВТОМОБИЛЬНОЙ МАГИСТРАЛИ МОСКВА-АРХАНГЕЛЬСК ФЕДЕРАЛЬНОГО ДОРОЖНОГО АГЕНТСТВА»,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4"/>
        </w:rPr>
        <w:t>в присутствии представителя Заказчика,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10" w:name="bookmark10"/>
      <w:r>
        <w:rPr>
          <w:rStyle w:val="CharStyle17"/>
          <w:b/>
          <w:bCs/>
        </w:rPr>
        <w:t>УСТАНОВИЛА:</w:t>
      </w:r>
      <w:bookmarkEnd w:id="1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4"/>
        </w:rPr>
        <w:t>28.08.2025 в Управление Федеральной антимонопольной службы по Вологодской области (далее – Управление) посредством единой информационной системы в сфере закупок (далее – ЕИС) поступила жалоба Заявителя на положения изещения о проведении запроса</w:t>
      </w:r>
    </w:p>
    <w:p>
      <w:pPr>
        <w:widowControl w:val="0"/>
        <w:spacing w:line="1" w:lineRule="exact"/>
      </w:pPr>
      <w:r>
        <w:drawing>
          <wp:anchor distT="139700" distB="0" distL="0" distR="0" simplePos="0" relativeHeight="125829378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139700</wp:posOffset>
            </wp:positionV>
            <wp:extent cx="1517650" cy="292735"/>
            <wp:wrapTopAndBottom/>
            <wp:docPr id="4" name="Shap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box 5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котировок, противоречащие Федеральному закону от </w:t>
      </w:r>
      <w:r>
        <w:rPr>
          <w:rStyle w:val="CharStyle14"/>
          <w:lang w:val="en-US" w:eastAsia="en-US"/>
        </w:rPr>
        <w:t xml:space="preserve">05.04.2013 № </w:t>
      </w:r>
      <w:r>
        <w:rPr>
          <w:rStyle w:val="CharStyle14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Закон о контрактной системе).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 xml:space="preserve">Жалоба Заявителя подана в надлежащий срок, а также соответствует требованиям, предусмотренным ст. </w:t>
      </w:r>
      <w:r>
        <w:rPr>
          <w:rStyle w:val="CharStyle14"/>
          <w:lang w:val="en-US" w:eastAsia="en-US"/>
        </w:rPr>
        <w:t xml:space="preserve">105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>Заявитель обжалует положения извещения о проведении конкурса в части несоответствия требований к оценки заявок участников закупки требованиям законодательства Российской Федерации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>Комиссия Управления, рассмотрев представленные материалы в их совокупности, заслушав представителя Заявителя,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  <w:lang w:val="en-US" w:eastAsia="en-US"/>
        </w:rPr>
        <w:t xml:space="preserve">08.08.2025 </w:t>
      </w:r>
      <w:r>
        <w:rPr>
          <w:rStyle w:val="CharStyle14"/>
        </w:rPr>
        <w:t>в ЕИС размещено извещение о проведении конкурса.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 xml:space="preserve">Дата и время окончания срока подачи заявок </w:t>
      </w:r>
      <w:r>
        <w:rPr>
          <w:rStyle w:val="CharStyle14"/>
          <w:lang w:val="en-US" w:eastAsia="en-US"/>
        </w:rPr>
        <w:t>29.08.2025.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 xml:space="preserve">Дата окончания срока рассмотрения и оценки первых частей заявок </w:t>
      </w:r>
      <w:r>
        <w:rPr>
          <w:rStyle w:val="CharStyle14"/>
          <w:lang w:val="en-US" w:eastAsia="en-US"/>
        </w:rPr>
        <w:t>02.09.2025.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 xml:space="preserve">Дата проведения процедуры подачи предложений о цене контракта </w:t>
      </w:r>
      <w:r>
        <w:rPr>
          <w:rStyle w:val="CharStyle14"/>
          <w:lang w:val="en-US" w:eastAsia="en-US"/>
        </w:rPr>
        <w:t>03.09.2025.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 xml:space="preserve">Дата окончания срока рассмотрения и оценки вторых частей заявок </w:t>
      </w:r>
      <w:r>
        <w:rPr>
          <w:rStyle w:val="CharStyle14"/>
          <w:lang w:val="en-US" w:eastAsia="en-US"/>
        </w:rPr>
        <w:t>05.09.2025.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 xml:space="preserve">Дата подведения итогов определения поставщика (подрядчика, исполнителя) </w:t>
      </w:r>
      <w:r>
        <w:rPr>
          <w:rStyle w:val="CharStyle14"/>
          <w:lang w:val="en-US" w:eastAsia="en-US"/>
        </w:rPr>
        <w:t>08.09.2025.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 xml:space="preserve">Заказчиком в п.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раздела </w:t>
      </w:r>
      <w:r>
        <w:rPr>
          <w:rStyle w:val="CharStyle14"/>
          <w:lang w:val="en-US" w:eastAsia="en-US"/>
        </w:rPr>
        <w:t xml:space="preserve">II </w:t>
      </w:r>
      <w:r>
        <w:rPr>
          <w:rStyle w:val="CharStyle14"/>
        </w:rPr>
        <w:t xml:space="preserve">приложения </w:t>
      </w:r>
      <w:r>
        <w:rPr>
          <w:rStyle w:val="CharStyle14"/>
          <w:lang w:val="en-US" w:eastAsia="en-US"/>
        </w:rPr>
        <w:t xml:space="preserve">№ 5 </w:t>
      </w:r>
      <w:r>
        <w:rPr>
          <w:rStyle w:val="CharStyle14"/>
        </w:rPr>
        <w:t>к извещению о проведении закупки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8" w:right="0" w:firstLine="0"/>
        <w:jc w:val="left"/>
      </w:pPr>
      <w:r>
        <w:rPr>
          <w:rStyle w:val="CharStyle22"/>
        </w:rPr>
        <w:t>«ПОРЯДОК рассмотрения и оценки заявок на участие в конкурсе» указано следующее</w:t>
      </w:r>
    </w:p>
    <w:tbl>
      <w:tblPr>
        <w:tblOverlap w:val="never"/>
        <w:jc w:val="center"/>
        <w:tblLayout w:type="fixed"/>
      </w:tblPr>
      <w:tblGrid>
        <w:gridCol w:w="307"/>
        <w:gridCol w:w="1334"/>
        <w:gridCol w:w="696"/>
        <w:gridCol w:w="1277"/>
        <w:gridCol w:w="989"/>
        <w:gridCol w:w="1704"/>
        <w:gridCol w:w="1133"/>
        <w:gridCol w:w="2333"/>
      </w:tblGrid>
      <w:tr>
        <w:trPr>
          <w:trHeight w:val="151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4"/>
                <w:b/>
                <w:bCs/>
                <w:sz w:val="16"/>
                <w:szCs w:val="16"/>
                <w:lang w:val="en-US" w:eastAsia="en-US"/>
              </w:rPr>
              <w:t>№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4"/>
                <w:b/>
                <w:bCs/>
                <w:sz w:val="16"/>
                <w:szCs w:val="16"/>
              </w:rPr>
              <w:t>Критерий оценки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4"/>
                <w:b/>
                <w:bCs/>
                <w:sz w:val="16"/>
                <w:szCs w:val="16"/>
              </w:rPr>
              <w:t>Значим ость критер ия оценки, процен тов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4"/>
                <w:b/>
                <w:bCs/>
                <w:sz w:val="16"/>
                <w:szCs w:val="16"/>
              </w:rPr>
              <w:t>Показатель оценки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4"/>
                <w:b/>
                <w:bCs/>
                <w:sz w:val="16"/>
                <w:szCs w:val="16"/>
              </w:rPr>
              <w:t>Значимость показателя оценки, процентов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4"/>
                <w:b/>
                <w:bCs/>
                <w:sz w:val="16"/>
                <w:szCs w:val="16"/>
              </w:rPr>
              <w:t>Показатель оценки, детализирующий показатель оценки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4"/>
                <w:b/>
                <w:bCs/>
                <w:sz w:val="16"/>
                <w:szCs w:val="16"/>
              </w:rPr>
              <w:t>Значимость показателя, детализирую щего показатель оценки, процентов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4"/>
                <w:b/>
                <w:bCs/>
                <w:sz w:val="16"/>
                <w:szCs w:val="16"/>
              </w:rPr>
              <w:t>Формула оценки или шкала оценки</w:t>
            </w:r>
          </w:p>
        </w:tc>
      </w:tr>
      <w:tr>
        <w:trPr>
          <w:trHeight w:val="776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4"/>
                <w:sz w:val="16"/>
                <w:szCs w:val="16"/>
                <w:lang w:val="en-US" w:eastAsia="en-US"/>
              </w:rPr>
              <w:t>2.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4"/>
                <w:sz w:val="16"/>
                <w:szCs w:val="16"/>
              </w:rPr>
              <w:t>Характеристики объекта закупки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4"/>
                <w:sz w:val="16"/>
                <w:szCs w:val="16"/>
                <w:lang w:val="en-US" w:eastAsia="en-US"/>
              </w:rPr>
              <w:t>35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4"/>
                <w:sz w:val="16"/>
                <w:szCs w:val="16"/>
              </w:rPr>
              <w:t>Качественные характеристики объекта закупки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4"/>
                <w:sz w:val="16"/>
                <w:szCs w:val="16"/>
                <w:lang w:val="en-US" w:eastAsia="en-US"/>
              </w:rPr>
              <w:t>100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4"/>
                <w:sz w:val="16"/>
                <w:szCs w:val="16"/>
              </w:rPr>
              <w:t xml:space="preserve">Соответствие предложения участника закупки о качестве работ, представленного в составе заявки на участие в конкурсе, требованиям Задания на выполнение проектных и изыскательских работ (Приложение </w:t>
            </w:r>
            <w:r>
              <w:rPr>
                <w:rStyle w:val="CharStyle24"/>
                <w:sz w:val="16"/>
                <w:szCs w:val="16"/>
                <w:lang w:val="en-US" w:eastAsia="en-US"/>
              </w:rPr>
              <w:t xml:space="preserve">№ 1 </w:t>
            </w:r>
            <w:r>
              <w:rPr>
                <w:rStyle w:val="CharStyle24"/>
                <w:sz w:val="16"/>
                <w:szCs w:val="16"/>
              </w:rPr>
              <w:t xml:space="preserve">к Контракту, далее по тексту </w:t>
            </w:r>
            <w:r>
              <w:rPr>
                <w:rStyle w:val="CharStyle24"/>
                <w:sz w:val="16"/>
                <w:szCs w:val="16"/>
                <w:lang w:val="en-US" w:eastAsia="en-US"/>
              </w:rPr>
              <w:t xml:space="preserve">– </w:t>
            </w:r>
            <w:r>
              <w:rPr>
                <w:rStyle w:val="CharStyle24"/>
                <w:sz w:val="16"/>
                <w:szCs w:val="16"/>
              </w:rPr>
              <w:t>Задание), нормативных документов, указанных в Задании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4"/>
                <w:sz w:val="16"/>
                <w:szCs w:val="16"/>
                <w:lang w:val="en-US" w:eastAsia="en-US"/>
              </w:rPr>
              <w:t>100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tabs>
                <w:tab w:pos="1608" w:val="left"/>
              </w:tabs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rStyle w:val="CharStyle24"/>
                <w:sz w:val="16"/>
                <w:szCs w:val="16"/>
              </w:rPr>
              <w:t>Оценка заявок осуществляется</w:t>
              <w:tab/>
              <w:t>согласно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tabs>
                <w:tab w:pos="1176" w:val="left"/>
                <w:tab w:pos="2002" w:val="left"/>
              </w:tabs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rStyle w:val="CharStyle24"/>
                <w:sz w:val="16"/>
                <w:szCs w:val="16"/>
              </w:rPr>
              <w:t>требованиям</w:t>
              <w:tab/>
              <w:t>пункта</w:t>
              <w:tab/>
            </w:r>
            <w:r>
              <w:rPr>
                <w:rStyle w:val="CharStyle24"/>
                <w:sz w:val="16"/>
                <w:szCs w:val="16"/>
                <w:lang w:val="en-US" w:eastAsia="en-US"/>
              </w:rPr>
              <w:t>22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tabs>
                <w:tab w:pos="1171" w:val="left"/>
                <w:tab w:pos="1997" w:val="left"/>
              </w:tabs>
              <w:bidi w:val="0"/>
              <w:spacing w:before="0" w:after="0" w:line="240" w:lineRule="auto"/>
              <w:ind w:left="600" w:right="0" w:hanging="600"/>
              <w:jc w:val="left"/>
              <w:rPr>
                <w:sz w:val="16"/>
                <w:szCs w:val="16"/>
              </w:rPr>
            </w:pPr>
            <w:r>
              <w:rPr>
                <w:rStyle w:val="CharStyle24"/>
                <w:sz w:val="16"/>
                <w:szCs w:val="16"/>
              </w:rPr>
              <w:t xml:space="preserve">Положения по шкале оценки: </w:t>
            </w:r>
            <w:r>
              <w:rPr>
                <w:rStyle w:val="CharStyle24"/>
                <w:sz w:val="16"/>
                <w:szCs w:val="16"/>
                <w:lang w:val="en-US" w:eastAsia="en-US"/>
              </w:rPr>
              <w:t>100</w:t>
              <w:tab/>
            </w:r>
            <w:r>
              <w:rPr>
                <w:rStyle w:val="CharStyle24"/>
                <w:sz w:val="16"/>
                <w:szCs w:val="16"/>
              </w:rPr>
              <w:t>баллов</w:t>
              <w:tab/>
            </w:r>
            <w:r>
              <w:rPr>
                <w:rStyle w:val="CharStyle24"/>
                <w:sz w:val="16"/>
                <w:szCs w:val="16"/>
                <w:lang w:val="en-US" w:eastAsia="en-US"/>
              </w:rPr>
              <w:t>–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tabs>
                <w:tab w:pos="165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4"/>
                <w:sz w:val="16"/>
                <w:szCs w:val="16"/>
              </w:rPr>
              <w:t>предоставление</w:t>
              <w:tab/>
              <w:t>полного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tabs>
                <w:tab w:pos="739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4"/>
                <w:sz w:val="16"/>
                <w:szCs w:val="16"/>
              </w:rPr>
              <w:t>подробного структурированного описания в составе</w:t>
              <w:tab/>
              <w:t>заявки участника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tabs>
                <w:tab w:pos="739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4"/>
                <w:sz w:val="16"/>
                <w:szCs w:val="16"/>
              </w:rPr>
              <w:t>закупки последовательности и порядка</w:t>
              <w:tab/>
              <w:t>выполнения работ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tabs>
                <w:tab w:pos="734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4"/>
                <w:sz w:val="16"/>
                <w:szCs w:val="16"/>
              </w:rPr>
              <w:t>(оказания</w:t>
              <w:tab/>
              <w:t>услуг) на объекте с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tabs>
                <w:tab w:pos="744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4"/>
                <w:sz w:val="16"/>
                <w:szCs w:val="16"/>
              </w:rPr>
              <w:t>учетом</w:t>
              <w:tab/>
              <w:t>выполнения всех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tabs>
                <w:tab w:pos="165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4"/>
                <w:sz w:val="16"/>
                <w:szCs w:val="16"/>
              </w:rPr>
              <w:t>требований</w:t>
              <w:tab/>
              <w:t>Задания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4"/>
                <w:sz w:val="16"/>
                <w:szCs w:val="16"/>
              </w:rPr>
              <w:t xml:space="preserve">(Приложение </w:t>
            </w:r>
            <w:r>
              <w:rPr>
                <w:rStyle w:val="CharStyle24"/>
                <w:sz w:val="16"/>
                <w:szCs w:val="16"/>
                <w:lang w:val="en-US" w:eastAsia="en-US"/>
              </w:rPr>
              <w:t xml:space="preserve">№ 1 </w:t>
            </w:r>
            <w:r>
              <w:rPr>
                <w:rStyle w:val="CharStyle24"/>
                <w:sz w:val="16"/>
                <w:szCs w:val="16"/>
              </w:rPr>
              <w:t>к проекту государственного контракта) по объекту закупки;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tabs>
                <w:tab w:pos="1085" w:val="left"/>
                <w:tab w:pos="1949" w:val="left"/>
              </w:tabs>
              <w:bidi w:val="0"/>
              <w:spacing w:before="0" w:after="0" w:line="240" w:lineRule="auto"/>
              <w:ind w:left="0" w:right="0" w:firstLine="660"/>
              <w:jc w:val="both"/>
              <w:rPr>
                <w:sz w:val="16"/>
                <w:szCs w:val="16"/>
              </w:rPr>
            </w:pPr>
            <w:r>
              <w:rPr>
                <w:rStyle w:val="CharStyle24"/>
                <w:sz w:val="16"/>
                <w:szCs w:val="16"/>
                <w:lang w:val="en-US" w:eastAsia="en-US"/>
              </w:rPr>
              <w:t xml:space="preserve">0 </w:t>
            </w:r>
            <w:r>
              <w:rPr>
                <w:rStyle w:val="CharStyle24"/>
                <w:sz w:val="16"/>
                <w:szCs w:val="16"/>
              </w:rPr>
              <w:t xml:space="preserve">баллов </w:t>
            </w:r>
            <w:r>
              <w:rPr>
                <w:rStyle w:val="CharStyle24"/>
                <w:sz w:val="16"/>
                <w:szCs w:val="16"/>
                <w:lang w:val="en-US" w:eastAsia="en-US"/>
              </w:rPr>
              <w:t xml:space="preserve">– </w:t>
            </w:r>
            <w:r>
              <w:rPr>
                <w:rStyle w:val="CharStyle24"/>
                <w:sz w:val="16"/>
                <w:szCs w:val="16"/>
              </w:rPr>
              <w:t>участником закупки не предоставлено описание последовательности и порядка выполнения работ (оказания</w:t>
              <w:tab/>
              <w:t>услуг)</w:t>
              <w:tab/>
              <w:t>или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tabs>
                <w:tab w:pos="1186" w:val="left"/>
                <w:tab w:pos="2131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4"/>
                <w:sz w:val="16"/>
                <w:szCs w:val="16"/>
              </w:rPr>
              <w:t>предоставление в составе заявки участника закупки только скопированного Задания (повторение исключительно формулировок требований) или (и) при</w:t>
              <w:tab/>
              <w:t>наличии</w:t>
              <w:tab/>
              <w:t>в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tabs>
                <w:tab w:pos="2198" w:val="righ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4"/>
                <w:sz w:val="16"/>
                <w:szCs w:val="16"/>
              </w:rPr>
              <w:t xml:space="preserve">представленных предложениях противоречий, несоответствий Задания (Приложение </w:t>
            </w:r>
            <w:r>
              <w:rPr>
                <w:rStyle w:val="CharStyle24"/>
                <w:sz w:val="16"/>
                <w:szCs w:val="16"/>
                <w:lang w:val="en-US" w:eastAsia="en-US"/>
              </w:rPr>
              <w:t xml:space="preserve">№ 1 </w:t>
            </w:r>
            <w:r>
              <w:rPr>
                <w:rStyle w:val="CharStyle24"/>
                <w:sz w:val="16"/>
                <w:szCs w:val="16"/>
              </w:rPr>
              <w:t>к проекту</w:t>
              <w:tab/>
              <w:t>государственного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tabs>
                <w:tab w:pos="2198" w:val="righ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4"/>
                <w:sz w:val="16"/>
                <w:szCs w:val="16"/>
              </w:rPr>
              <w:t>контракта), (предложения не отвечают</w:t>
              <w:tab/>
              <w:t>потребностям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tabs>
                <w:tab w:pos="2198" w:val="righ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4"/>
                <w:sz w:val="16"/>
                <w:szCs w:val="16"/>
              </w:rPr>
              <w:t>Заказчика),</w:t>
              <w:tab/>
              <w:t>недостоверной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tabs>
                <w:tab w:pos="1330" w:val="left"/>
                <w:tab w:pos="1997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4"/>
                <w:sz w:val="16"/>
                <w:szCs w:val="16"/>
              </w:rPr>
              <w:t>информации</w:t>
              <w:tab/>
              <w:t>(не</w:t>
              <w:tab/>
              <w:t>в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tabs>
                <w:tab w:pos="1330" w:val="left"/>
                <w:tab w:pos="1997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4"/>
                <w:sz w:val="16"/>
                <w:szCs w:val="16"/>
              </w:rPr>
              <w:t>совокупности)</w:t>
              <w:tab/>
              <w:t>или</w:t>
              <w:tab/>
              <w:t>(и)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tabs>
                <w:tab w:pos="2198" w:val="righ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4"/>
                <w:sz w:val="16"/>
                <w:szCs w:val="16"/>
              </w:rPr>
              <w:t>представление не полной информации по показателю, предложения представлены без учета требований</w:t>
              <w:tab/>
              <w:t>Задания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07"/>
        <w:gridCol w:w="1334"/>
        <w:gridCol w:w="696"/>
        <w:gridCol w:w="1277"/>
        <w:gridCol w:w="989"/>
        <w:gridCol w:w="1704"/>
        <w:gridCol w:w="1133"/>
        <w:gridCol w:w="2333"/>
      </w:tblGrid>
      <w:tr>
        <w:trPr>
          <w:trHeight w:val="77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4"/>
                <w:sz w:val="16"/>
                <w:szCs w:val="16"/>
              </w:rPr>
              <w:t xml:space="preserve">(Приложение </w:t>
            </w:r>
            <w:r>
              <w:rPr>
                <w:rStyle w:val="CharStyle24"/>
                <w:sz w:val="16"/>
                <w:szCs w:val="16"/>
                <w:lang w:val="en-US" w:eastAsia="en-US"/>
              </w:rPr>
              <w:t xml:space="preserve">№ 1 </w:t>
            </w:r>
            <w:r>
              <w:rPr>
                <w:rStyle w:val="CharStyle24"/>
                <w:sz w:val="16"/>
                <w:szCs w:val="16"/>
              </w:rPr>
              <w:t>к проекту государственного контракта) по объекту закупки.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п. </w:t>
      </w:r>
      <w:r>
        <w:rPr>
          <w:rStyle w:val="CharStyle14"/>
          <w:lang w:val="en-US" w:eastAsia="en-US"/>
        </w:rPr>
        <w:t xml:space="preserve">3, 4 </w:t>
      </w:r>
      <w:r>
        <w:rPr>
          <w:rStyle w:val="CharStyle14"/>
        </w:rPr>
        <w:t xml:space="preserve">ч.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Закона о контрактной системе извещение об осуществлении закупки, если иное не предусмотрено Законом о контрактной системе, должно содержать следующие электронные документы: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порядок рассмотрения и оценки заявок на участие в конкурсах в соответствии с Законом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силу ч.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32 </w:t>
      </w:r>
      <w:r>
        <w:rPr>
          <w:rStyle w:val="CharStyle14"/>
        </w:rPr>
        <w:t>Закона о контрактной системе для оценки заявок участников закупки заказчик использует следующие критерии: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цена контракта, сумма цен единиц товара, работы, услуги;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расходы на эксплуатацию и ремонт товаров, использование результатов работ;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качественные, функциональные и экологические характеристики объекта закупки;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Постановлением Правительства Российской Федерации от </w:t>
      </w:r>
      <w:r>
        <w:rPr>
          <w:rStyle w:val="CharStyle14"/>
          <w:lang w:val="en-US" w:eastAsia="en-US"/>
        </w:rPr>
        <w:t xml:space="preserve">31.12.2021 № 2604 </w:t>
      </w:r>
      <w:r>
        <w:rPr>
          <w:rStyle w:val="CharStyle14"/>
        </w:rPr>
        <w:t xml:space="preserve">«Об оценке заявок на участие в закупке товаров, работ, услуг для обеспечения государственных и муниципальных нужд, внесении изменений в пункт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постановления Правительства Российской Федерации от </w:t>
      </w:r>
      <w:r>
        <w:rPr>
          <w:rStyle w:val="CharStyle14"/>
          <w:lang w:val="en-US" w:eastAsia="en-US"/>
        </w:rPr>
        <w:t xml:space="preserve">20 </w:t>
      </w:r>
      <w:r>
        <w:rPr>
          <w:rStyle w:val="CharStyle14"/>
        </w:rPr>
        <w:t xml:space="preserve">декабря </w:t>
      </w:r>
      <w:r>
        <w:rPr>
          <w:rStyle w:val="CharStyle14"/>
          <w:lang w:val="en-US" w:eastAsia="en-US"/>
        </w:rPr>
        <w:t xml:space="preserve">2021 </w:t>
      </w:r>
      <w:r>
        <w:rPr>
          <w:rStyle w:val="CharStyle14"/>
        </w:rPr>
        <w:t xml:space="preserve">г. </w:t>
      </w:r>
      <w:r>
        <w:rPr>
          <w:rStyle w:val="CharStyle14"/>
          <w:lang w:val="en-US" w:eastAsia="en-US"/>
        </w:rPr>
        <w:t xml:space="preserve">№ 2369 </w:t>
      </w:r>
      <w:r>
        <w:rPr>
          <w:rStyle w:val="CharStyle14"/>
        </w:rPr>
        <w:t xml:space="preserve">и признании утратившими силу некоторых актов и отдельных положений некоторых актов Правительства Российской Федерации» утверждено положение об оценке заявок на участие в закупке товаров, работ, услуг для обеспечения государственных и муниципальных нужд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Положение).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16 </w:t>
      </w:r>
      <w:r>
        <w:rPr>
          <w:rStyle w:val="CharStyle14"/>
        </w:rPr>
        <w:t>Положения установлено, что для оценки заявок по критерию оценки «характеристики объекта закупки» могут применяться, если иное не предусмотрено Положением, один или несколько из следующих показателей оценки: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качественные характеристики объекта закупки;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функциональные характеристики объекта закупки;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экологические характеристики объекта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п. </w:t>
      </w:r>
      <w:r>
        <w:rPr>
          <w:rStyle w:val="CharStyle14"/>
          <w:lang w:val="en-US" w:eastAsia="en-US"/>
        </w:rPr>
        <w:t xml:space="preserve">17 </w:t>
      </w:r>
      <w:r>
        <w:rPr>
          <w:rStyle w:val="CharStyle14"/>
        </w:rPr>
        <w:t xml:space="preserve">Положения для оценки заявок по показателям оценки, предусмотренным п. </w:t>
      </w:r>
      <w:r>
        <w:rPr>
          <w:rStyle w:val="CharStyle14"/>
          <w:lang w:val="en-US" w:eastAsia="en-US"/>
        </w:rPr>
        <w:t xml:space="preserve">16 </w:t>
      </w:r>
      <w:r>
        <w:rPr>
          <w:rStyle w:val="CharStyle14"/>
        </w:rPr>
        <w:t>Положения, применяются детализирующие показатели, предусматривающие оценку различных характеристик, образующих такие показатели оценки.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Заявитель в жалобе оспаривает правомерность установления Заказчиком такого показателя оценки как «описание последовательности и порядка выполнения проектно</w:t>
        <w:softHyphen/>
        <w:t xml:space="preserve">изыскательских работ». По мнению Заявителя названная характеристика не относится ни к одной из перечисленных в п. </w:t>
      </w:r>
      <w:r>
        <w:rPr>
          <w:rStyle w:val="CharStyle14"/>
          <w:lang w:val="en-US" w:eastAsia="en-US"/>
        </w:rPr>
        <w:t xml:space="preserve">16 </w:t>
      </w:r>
      <w:r>
        <w:rPr>
          <w:rStyle w:val="CharStyle14"/>
        </w:rPr>
        <w:t>Положения.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Заявитель в жалобе указывал: </w:t>
      </w:r>
      <w:r>
        <w:rPr>
          <w:rStyle w:val="CharStyle14"/>
          <w:lang w:val="en-US" w:eastAsia="en-US"/>
        </w:rPr>
        <w:t xml:space="preserve">«28.08.2025 </w:t>
      </w:r>
      <w:r>
        <w:rPr>
          <w:rStyle w:val="CharStyle14"/>
        </w:rPr>
        <w:t>г. Заказчиком опубликован ответ на запрос. Содержания разъяснения подтверждает отсутствие четкого алгоритма оценки конкурсных заявок по спорному показателю, отсутствие перечисления оцениваемых показателей, что свидетельствует о субъектном нерегулируемом подходе при оценке.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Довод заказчика, о достаточности отсутствии препятствий в подаче заявки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является антиконкурентным, так как скрытым последствием таких условий «свободной возможности» является понуждение участников закупки конкурировать путем снижений цены контракта (демпинговать) для получения максимального балла».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Комиссией Управления установлено, что оценка заявок, осуществляется согласно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требованиям п. </w:t>
      </w:r>
      <w:r>
        <w:rPr>
          <w:rStyle w:val="CharStyle14"/>
          <w:lang w:val="en-US" w:eastAsia="en-US"/>
        </w:rPr>
        <w:t xml:space="preserve">22 </w:t>
      </w:r>
      <w:r>
        <w:rPr>
          <w:rStyle w:val="CharStyle14"/>
        </w:rPr>
        <w:t>Положения по шкале оценки: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100 </w:t>
      </w:r>
      <w:r>
        <w:rPr>
          <w:rStyle w:val="CharStyle14"/>
        </w:rPr>
        <w:t xml:space="preserve">баллов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предоставление полного подробного структурированного описания в составе заявки участника закупки последовательности и порядка выполнения работ (оказания услуг) на объекте с учетом выполнения всех требований Задания (Приложение </w:t>
      </w:r>
      <w:r>
        <w:rPr>
          <w:rStyle w:val="CharStyle14"/>
          <w:lang w:val="en-US" w:eastAsia="en-US"/>
        </w:rPr>
        <w:t xml:space="preserve">№ 1 </w:t>
      </w:r>
      <w:r>
        <w:rPr>
          <w:rStyle w:val="CharStyle14"/>
        </w:rPr>
        <w:t>к проекту государственного контракта) по объекту закупки;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0 </w:t>
      </w:r>
      <w:r>
        <w:rPr>
          <w:rStyle w:val="CharStyle14"/>
        </w:rPr>
        <w:t xml:space="preserve">баллов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участником закупки не предоставлено описание последовательности и порядка выполнения работ (оказания услуг) или предоставление в составе заявки участника закупки только скопированного Задания (повторение исключительно формулировок требований) или (и) при наличии в представленных предложениях противоречий, несоответствий Задания (Приложение </w:t>
      </w:r>
      <w:r>
        <w:rPr>
          <w:rStyle w:val="CharStyle14"/>
          <w:lang w:val="en-US" w:eastAsia="en-US"/>
        </w:rPr>
        <w:t xml:space="preserve">№ 1 </w:t>
      </w:r>
      <w:r>
        <w:rPr>
          <w:rStyle w:val="CharStyle14"/>
        </w:rPr>
        <w:t xml:space="preserve">к проекту государственного контракта), (предложения не отвечают потребностям Заказчика), недостоверной информации (не в совокупности) или (и) представление не полной информации по показателю, предложения представлены без учета требований Задания (Приложение </w:t>
      </w:r>
      <w:r>
        <w:rPr>
          <w:rStyle w:val="CharStyle14"/>
          <w:lang w:val="en-US" w:eastAsia="en-US"/>
        </w:rPr>
        <w:t xml:space="preserve">№ 1 </w:t>
      </w:r>
      <w:r>
        <w:rPr>
          <w:rStyle w:val="CharStyle14"/>
        </w:rPr>
        <w:t>к проекту государственного контракта) по объекту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В части выбранного показателя оценки «описание последовательности и порядка выполнения проектно-изыскательских работ» представитель Заказчика пояснил, что указанный показатель является качественной характеристикой объекта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Заявке участника закупки, представившему структурированное описание последовательности и порядка выполнения работ (оказания услуг) на объекте присваивается </w:t>
      </w:r>
      <w:r>
        <w:rPr>
          <w:rStyle w:val="CharStyle14"/>
          <w:lang w:val="en-US" w:eastAsia="en-US"/>
        </w:rPr>
        <w:t xml:space="preserve">– 100 </w:t>
      </w:r>
      <w:r>
        <w:rPr>
          <w:rStyle w:val="CharStyle14"/>
        </w:rPr>
        <w:t xml:space="preserve">баллов, а в случае отсутствия заявке информации по данному критерию </w:t>
      </w:r>
      <w:r>
        <w:rPr>
          <w:rStyle w:val="CharStyle14"/>
          <w:lang w:val="en-US" w:eastAsia="en-US"/>
        </w:rPr>
        <w:t xml:space="preserve">– 0 </w:t>
      </w:r>
      <w:r>
        <w:rPr>
          <w:rStyle w:val="CharStyle14"/>
        </w:rPr>
        <w:t>баллов.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На рассмотрении жалобы представитель Заявителя не явился, не представил доказательств, опровергающих пояснения Заказчика.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Кроме того, согласно Протоколу подведения итогов определения поставщика (подрядчика, исполнителя) от </w:t>
      </w:r>
      <w:r>
        <w:rPr>
          <w:rStyle w:val="CharStyle14"/>
          <w:lang w:val="en-US" w:eastAsia="en-US"/>
        </w:rPr>
        <w:t xml:space="preserve">04.09.2025 </w:t>
      </w:r>
      <w:r>
        <w:rPr>
          <w:rStyle w:val="CharStyle14"/>
        </w:rPr>
        <w:t xml:space="preserve">№ИЭОК1 на участие в закупке была подано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>заявки. Согласно пояснениям Заказчика в составе заявок были указаны качественные характеристики объекта закупки, что свидетельствует об отсутствии препятствий для подачи заявки Заявителем.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п.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ч. </w:t>
      </w:r>
      <w:r>
        <w:rPr>
          <w:rStyle w:val="CharStyle14"/>
          <w:lang w:val="en-US" w:eastAsia="en-US"/>
        </w:rPr>
        <w:t xml:space="preserve">15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99 </w:t>
      </w:r>
      <w:r>
        <w:rPr>
          <w:rStyle w:val="CharStyle14"/>
        </w:rPr>
        <w:t>Закона о контрактной системе Комиссия Управления провела внеплановую проверку, по результатам которой нарушений при проведении закупки не установлено.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4"/>
        </w:rPr>
        <w:t xml:space="preserve">На основании вышеизложенного, Комиссия Управления, руководствуясь ст. </w:t>
      </w:r>
      <w:r>
        <w:rPr>
          <w:rStyle w:val="CharStyle14"/>
          <w:lang w:val="en-US" w:eastAsia="en-US"/>
        </w:rPr>
        <w:t xml:space="preserve">99, 106 </w:t>
      </w:r>
      <w:r>
        <w:rPr>
          <w:rStyle w:val="CharStyle14"/>
        </w:rPr>
        <w:t>Закона о контрактной системе,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12" w:name="bookmark12"/>
      <w:r>
        <w:rPr>
          <w:rStyle w:val="CharStyle17"/>
          <w:b/>
          <w:bCs/>
        </w:rPr>
        <w:t>РЕШИЛА:</w:t>
      </w:r>
      <w:bookmarkEnd w:id="12"/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3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Признать жалобу ООО «ПРОЕКТМАСТЕР» необоснованной.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1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14"/>
        </w:rPr>
        <w:t xml:space="preserve">Требование о приостановке определения поставщика (подрядчика, исполнителя) в части подписания контракта, установленное Управлением на основании ч. </w:t>
      </w:r>
      <w:r>
        <w:rPr>
          <w:rStyle w:val="CharStyle14"/>
          <w:lang w:val="en-US" w:eastAsia="en-US"/>
        </w:rPr>
        <w:t xml:space="preserve">7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106 </w:t>
      </w:r>
      <w:r>
        <w:rPr>
          <w:rStyle w:val="CharStyle14"/>
        </w:rPr>
        <w:t>Закона о контрактной системе, отменить.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533400" distB="243840" distL="0" distR="0" simplePos="0" relativeHeight="125829379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533400</wp:posOffset>
                </wp:positionV>
                <wp:extent cx="1667510" cy="225425"/>
                <wp:wrapTopAndBottom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6751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57.950000000000003pt;margin-top:42.pt;width:131.30000000000001pt;height:17.75pt;z-index:-125829374;mso-wrap-distance-left:0;mso-wrap-distance-top:42.pt;mso-wrap-distance-right:0;mso-wrap-distance-bottom:19.1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58495" distB="0" distL="0" distR="1816735" simplePos="0" relativeHeight="125829381" behindDoc="0" locked="0" layoutInCell="1" allowOverlap="1">
            <wp:simplePos x="0" y="0"/>
            <wp:positionH relativeFrom="page">
              <wp:posOffset>2860675</wp:posOffset>
            </wp:positionH>
            <wp:positionV relativeFrom="paragraph">
              <wp:posOffset>658495</wp:posOffset>
            </wp:positionV>
            <wp:extent cx="298450" cy="347345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3250565</wp:posOffset>
                </wp:positionH>
                <wp:positionV relativeFrom="paragraph">
                  <wp:posOffset>719455</wp:posOffset>
                </wp:positionV>
                <wp:extent cx="1722120" cy="265430"/>
                <wp:wrapNone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  <w:b/>
                                <w:bCs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255.95000000000002pt;margin-top:56.649999999999999pt;width:135.59999999999999pt;height:20.9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  <w:b/>
                          <w:bCs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283210" distL="0" distR="0" simplePos="0" relativeHeight="125829382" behindDoc="0" locked="0" layoutInCell="1" allowOverlap="1">
                <wp:simplePos x="0" y="0"/>
                <wp:positionH relativeFrom="page">
                  <wp:posOffset>6103620</wp:posOffset>
                </wp:positionH>
                <wp:positionV relativeFrom="paragraph">
                  <wp:posOffset>533400</wp:posOffset>
                </wp:positionV>
                <wp:extent cx="1075690" cy="186055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5690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П.Э. Кошманов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480.60000000000002pt;margin-top:42.pt;width:84.700000000000003pt;height:14.65pt;z-index:-125829371;mso-wrap-distance-left:0;mso-wrap-distance-top:42.pt;mso-wrap-distance-right:0;mso-wrap-distance-bottom:22.3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П.Э. Кошманов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29"/>
          <w:b/>
          <w:bCs/>
          <w:color w:val="FFFFFF"/>
        </w:rPr>
        <w:t>СВЕДЕНИЯ О СЕРТИФИКАТЕ ЭП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80" w:right="0" w:firstLine="0"/>
        <w:jc w:val="left"/>
      </w:pPr>
      <w:r>
        <w:rPr>
          <w:rStyle w:val="CharStyle31"/>
        </w:rPr>
        <w:t xml:space="preserve">Кому выдан: </w:t>
      </w:r>
      <w:r>
        <w:rPr>
          <w:rStyle w:val="CharStyle31"/>
          <w:color w:val="000000"/>
        </w:rPr>
        <w:t>Кошманов Павел Эдуардович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80" w:right="0" w:firstLine="0"/>
        <w:jc w:val="left"/>
      </w:pPr>
      <w:r>
        <w:rPr>
          <w:rStyle w:val="CharStyle31"/>
        </w:rPr>
        <w:t xml:space="preserve">Сертификат </w:t>
      </w:r>
      <w:r>
        <w:rPr>
          <w:rStyle w:val="CharStyle31"/>
          <w:color w:val="2B2B2B"/>
        </w:rPr>
        <w:t xml:space="preserve">№ </w:t>
      </w:r>
      <w:r>
        <w:rPr>
          <w:rStyle w:val="CharStyle31"/>
          <w:lang w:val="en-US" w:eastAsia="en-US"/>
        </w:rPr>
        <w:t>4E93B919716DFFD8531B0778D900D7C8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338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57" w:right="534" w:bottom="1234" w:left="1085" w:header="0" w:footer="3" w:gutter="0"/>
          <w:cols w:space="720"/>
          <w:noEndnote/>
          <w:rtlGutter w:val="0"/>
          <w:docGrid w:linePitch="360"/>
        </w:sectPr>
      </w:pPr>
      <w:r>
        <w:rPr>
          <w:rStyle w:val="CharStyle31"/>
        </w:rPr>
        <w:t xml:space="preserve">Действителен с 29.07.2025 </w:t>
      </w:r>
      <w:r>
        <w:rPr>
          <w:rStyle w:val="CharStyle31"/>
          <w:color w:val="5E5E5E"/>
        </w:rPr>
        <w:t xml:space="preserve">по </w:t>
      </w:r>
      <w:r>
        <w:rPr>
          <w:rStyle w:val="CharStyle31"/>
        </w:rPr>
        <w:t>22.10.2026</w:t>
      </w:r>
    </w:p>
    <w:p>
      <w:pPr>
        <w:pStyle w:val="Style13"/>
        <w:keepNext w:val="0"/>
        <w:keepLines w:val="0"/>
        <w:framePr w:w="1877" w:h="355" w:wrap="none" w:hAnchor="page" w:x="1160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Члены комиссии</w:t>
      </w:r>
    </w:p>
    <w:p>
      <w:pPr>
        <w:widowControl w:val="0"/>
        <w:spacing w:after="35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561" w:right="584" w:bottom="11335" w:left="115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76200" distR="76200" simplePos="0" relativeHeight="125829384" behindDoc="0" locked="0" layoutInCell="1" allowOverlap="1">
            <wp:simplePos x="0" y="0"/>
            <wp:positionH relativeFrom="page">
              <wp:posOffset>2863215</wp:posOffset>
            </wp:positionH>
            <wp:positionV relativeFrom="paragraph">
              <wp:posOffset>143510</wp:posOffset>
            </wp:positionV>
            <wp:extent cx="298450" cy="347345"/>
            <wp:wrapSquare wrapText="right"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6005830</wp:posOffset>
                </wp:positionH>
                <wp:positionV relativeFrom="paragraph">
                  <wp:posOffset>12700</wp:posOffset>
                </wp:positionV>
                <wp:extent cx="1179830" cy="201295"/>
                <wp:wrapSquare wrapText="bothSides"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983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И.А. Смышляева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72.90000000000003pt;margin-top:1.pt;width:92.900000000000006pt;height:15.85pt;z-index:-12582936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И.А. Смышляева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drawing>
          <wp:anchor distT="0" distB="0" distL="76200" distR="76200" simplePos="0" relativeHeight="125829387" behindDoc="0" locked="0" layoutInCell="1" allowOverlap="1">
            <wp:simplePos x="0" y="0"/>
            <wp:positionH relativeFrom="page">
              <wp:posOffset>2863215</wp:posOffset>
            </wp:positionH>
            <wp:positionV relativeFrom="paragraph">
              <wp:posOffset>1289050</wp:posOffset>
            </wp:positionV>
            <wp:extent cx="298450" cy="347345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5756275</wp:posOffset>
                </wp:positionH>
                <wp:positionV relativeFrom="paragraph">
                  <wp:posOffset>1167130</wp:posOffset>
                </wp:positionV>
                <wp:extent cx="1426210" cy="225425"/>
                <wp:wrapSquare wrapText="bothSides"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621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А.А. Добровольский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53.25pt;margin-top:91.900000000000006pt;width:112.3pt;height:17.75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А.А. Добровольский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90"/>
        <w:ind w:left="0" w:right="0" w:firstLine="0"/>
        <w:jc w:val="left"/>
      </w:pPr>
      <w:r>
        <w:rPr>
          <w:rStyle w:val="CharStyle36"/>
          <w:b/>
          <w:bCs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29"/>
          <w:b/>
          <w:bCs/>
          <w:color w:val="FFFFFF"/>
        </w:rPr>
        <w:t>СВЕДЕНИЯ О СЕРТИФИКАТЕ ЭП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31"/>
        </w:rPr>
        <w:t xml:space="preserve">Кому выдан: </w:t>
      </w:r>
      <w:r>
        <w:rPr>
          <w:rStyle w:val="CharStyle31"/>
          <w:color w:val="000000"/>
        </w:rPr>
        <w:t xml:space="preserve">Смышляева Ирина Александровна </w:t>
      </w:r>
      <w:r>
        <w:rPr>
          <w:rStyle w:val="CharStyle31"/>
        </w:rPr>
        <w:t xml:space="preserve">Сертификат </w:t>
      </w:r>
      <w:r>
        <w:rPr>
          <w:rStyle w:val="CharStyle31"/>
          <w:color w:val="2B2B2B"/>
        </w:rPr>
        <w:t xml:space="preserve">№ </w:t>
      </w:r>
      <w:r>
        <w:rPr>
          <w:rStyle w:val="CharStyle31"/>
          <w:lang w:val="en-US" w:eastAsia="en-US"/>
        </w:rPr>
        <w:t>6856486ACF54EB0CA94705D875342FA8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0"/>
        <w:jc w:val="left"/>
      </w:pPr>
      <w:r>
        <w:rPr>
          <w:rStyle w:val="CharStyle31"/>
        </w:rPr>
        <w:t xml:space="preserve">Действителен с 20.01.2025 </w:t>
      </w:r>
      <w:r>
        <w:rPr>
          <w:rStyle w:val="CharStyle31"/>
          <w:color w:val="5E5E5E"/>
        </w:rPr>
        <w:t xml:space="preserve">по </w:t>
      </w:r>
      <w:r>
        <w:rPr>
          <w:rStyle w:val="CharStyle31"/>
        </w:rPr>
        <w:t>15.04.2026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90"/>
        <w:ind w:left="0" w:right="0" w:firstLine="0"/>
        <w:jc w:val="left"/>
      </w:pPr>
      <w:r>
        <w:rPr>
          <w:rStyle w:val="CharStyle36"/>
          <w:b/>
          <w:bCs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29"/>
          <w:b/>
          <w:bCs/>
          <w:color w:val="FFFFFF"/>
        </w:rPr>
        <w:t>СВЕДЕНИЯ О СЕРТИФИКАТЕ ЭП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31"/>
        </w:rPr>
        <w:t xml:space="preserve">Кому выдан: </w:t>
      </w:r>
      <w:r>
        <w:rPr>
          <w:rStyle w:val="CharStyle31"/>
          <w:color w:val="000000"/>
        </w:rPr>
        <w:t>Добровольский Александр Александрови</w:t>
      </w:r>
      <w:r>
        <w:rPr>
          <w:rStyle w:val="CharStyle31"/>
          <w:color w:val="000000"/>
        </w:rPr>
        <w:t xml:space="preserve">ч </w:t>
      </w:r>
      <w:r>
        <w:rPr>
          <w:rStyle w:val="CharStyle31"/>
        </w:rPr>
        <w:t xml:space="preserve">Сертификат </w:t>
      </w:r>
      <w:r>
        <w:rPr>
          <w:rStyle w:val="CharStyle31"/>
          <w:color w:val="2B2B2B"/>
        </w:rPr>
        <w:t xml:space="preserve">№ </w:t>
      </w:r>
      <w:r>
        <w:rPr>
          <w:rStyle w:val="CharStyle31"/>
          <w:lang w:val="en-US" w:eastAsia="en-US"/>
        </w:rPr>
        <w:t>008228047695DC67970921C70B1B4B04AF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0"/>
        <w:jc w:val="left"/>
      </w:pPr>
      <w:r>
        <w:rPr>
          <w:rStyle w:val="CharStyle31"/>
        </w:rPr>
        <w:t xml:space="preserve">Действителен с 13.09.2024 </w:t>
      </w:r>
      <w:r>
        <w:rPr>
          <w:rStyle w:val="CharStyle31"/>
          <w:color w:val="5E5E5E"/>
        </w:rPr>
        <w:t xml:space="preserve">по </w:t>
      </w:r>
      <w:r>
        <w:rPr>
          <w:rStyle w:val="CharStyle31"/>
        </w:rPr>
        <w:t>07.12.2025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561" w:right="3940" w:bottom="1561" w:left="448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646430" cy="12827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2025-3764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pt;margin-top:775.70000000000005pt;width:50.899999999999999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2025-3764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196"/>
      <w:sz w:val="16"/>
      <w:szCs w:val="16"/>
      <w:u w:val="none"/>
    </w:rPr>
  </w:style>
  <w:style w:type="character" w:customStyle="1" w:styleId="CharStyle9">
    <w:name w:val="Body text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196"/>
      <w:sz w:val="19"/>
      <w:szCs w:val="19"/>
      <w:u w:val="none"/>
    </w:rPr>
  </w:style>
  <w:style w:type="character" w:customStyle="1" w:styleId="CharStyle11">
    <w:name w:val="Heading #1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Heading #2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9">
    <w:name w:val="Picture caption_"/>
    <w:basedOn w:val="DefaultParagraphFont"/>
    <w:link w:val="Style18"/>
    <w:rPr>
      <w:rFonts w:ascii="Georgia" w:eastAsia="Georgia" w:hAnsi="Georgia" w:cs="Georgia"/>
      <w:b/>
      <w:bCs/>
      <w:i w:val="0"/>
      <w:iCs w:val="0"/>
      <w:smallCaps w:val="0"/>
      <w:strike w:val="0"/>
      <w:color w:val="2B2B2B"/>
      <w:sz w:val="9"/>
      <w:szCs w:val="9"/>
      <w:u w:val="none"/>
    </w:rPr>
  </w:style>
  <w:style w:type="character" w:customStyle="1" w:styleId="CharStyle22">
    <w:name w:val="Table caption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4">
    <w:name w:val="Other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9">
    <w:name w:val="Body text (6)_"/>
    <w:basedOn w:val="DefaultParagraphFont"/>
    <w:link w:val="Style2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1">
    <w:name w:val="Body text (2)_"/>
    <w:basedOn w:val="DefaultParagraphFont"/>
    <w:link w:val="Style30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36">
    <w:name w:val="Body text (3)_"/>
    <w:basedOn w:val="DefaultParagraphFont"/>
    <w:link w:val="Style35"/>
    <w:rPr>
      <w:rFonts w:ascii="Georgia" w:eastAsia="Georgia" w:hAnsi="Georgia" w:cs="Georgia"/>
      <w:b/>
      <w:bCs/>
      <w:i w:val="0"/>
      <w:iCs w:val="0"/>
      <w:smallCaps w:val="0"/>
      <w:strike w:val="0"/>
      <w:color w:val="2B2B2B"/>
      <w:sz w:val="9"/>
      <w:szCs w:val="9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60" w:line="26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196"/>
      <w:sz w:val="16"/>
      <w:szCs w:val="16"/>
      <w:u w:val="none"/>
    </w:rPr>
  </w:style>
  <w:style w:type="paragraph" w:customStyle="1" w:styleId="Style8">
    <w:name w:val="Body text (5)"/>
    <w:basedOn w:val="Normal"/>
    <w:link w:val="CharStyle9"/>
    <w:pPr>
      <w:widowControl w:val="0"/>
      <w:shd w:val="clear" w:color="auto" w:fill="auto"/>
      <w:spacing w:after="18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196"/>
      <w:sz w:val="19"/>
      <w:szCs w:val="19"/>
      <w:u w:val="none"/>
    </w:rPr>
  </w:style>
  <w:style w:type="paragraph" w:customStyle="1" w:styleId="Style10">
    <w:name w:val="Heading #1"/>
    <w:basedOn w:val="Normal"/>
    <w:link w:val="CharStyle11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Heading #2"/>
    <w:basedOn w:val="Normal"/>
    <w:link w:val="CharStyle17"/>
    <w:pPr>
      <w:widowControl w:val="0"/>
      <w:shd w:val="clear" w:color="auto" w:fill="auto"/>
      <w:spacing w:after="120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  <w:spacing w:line="293" w:lineRule="auto"/>
    </w:pPr>
    <w:rPr>
      <w:rFonts w:ascii="Georgia" w:eastAsia="Georgia" w:hAnsi="Georgia" w:cs="Georgia"/>
      <w:b/>
      <w:bCs/>
      <w:i w:val="0"/>
      <w:iCs w:val="0"/>
      <w:smallCaps w:val="0"/>
      <w:strike w:val="0"/>
      <w:color w:val="2B2B2B"/>
      <w:sz w:val="9"/>
      <w:szCs w:val="9"/>
      <w:u w:val="none"/>
    </w:rPr>
  </w:style>
  <w:style w:type="paragraph" w:customStyle="1" w:styleId="Style21">
    <w:name w:val="Table caption"/>
    <w:basedOn w:val="Normal"/>
    <w:link w:val="CharStyle2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3">
    <w:name w:val="Other"/>
    <w:basedOn w:val="Normal"/>
    <w:link w:val="CharStyle2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8">
    <w:name w:val="Body text (6)"/>
    <w:basedOn w:val="Normal"/>
    <w:link w:val="CharStyle29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0">
    <w:name w:val="Body text (2)"/>
    <w:basedOn w:val="Normal"/>
    <w:link w:val="CharStyle31"/>
    <w:pPr>
      <w:widowControl w:val="0"/>
      <w:shd w:val="clear" w:color="auto" w:fill="auto"/>
      <w:spacing w:line="266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35">
    <w:name w:val="Body text (3)"/>
    <w:basedOn w:val="Normal"/>
    <w:link w:val="CharStyle36"/>
    <w:pPr>
      <w:widowControl w:val="0"/>
      <w:shd w:val="clear" w:color="auto" w:fill="auto"/>
      <w:spacing w:after="100" w:line="293" w:lineRule="auto"/>
    </w:pPr>
    <w:rPr>
      <w:rFonts w:ascii="Georgia" w:eastAsia="Georgia" w:hAnsi="Georgia" w:cs="Georgia"/>
      <w:b/>
      <w:bCs/>
      <w:i w:val="0"/>
      <w:iCs w:val="0"/>
      <w:smallCaps w:val="0"/>
      <w:strike w:val="0"/>
      <w:color w:val="2B2B2B"/>
      <w:sz w:val="9"/>
      <w:szCs w:val="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