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800735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08.09.2025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35983/25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05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08.09.2025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35983/25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ФГБУ «Росдетцентр»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"mailto:zakupki.zakupki2016@yandex.ru" </w:instrText>
      </w:r>
      <w:r>
        <w:fldChar w:fldCharType="separate"/>
      </w:r>
      <w:r>
        <w:rPr>
          <w:rStyle w:val="CharStyle7"/>
          <w:lang w:val="en-US" w:eastAsia="en-US"/>
        </w:rPr>
        <w:t>zakupki.zakupki2016@yandex.ru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ООО «Диапазон»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"mailto:info@diapazone.su" </w:instrText>
      </w:r>
      <w:r>
        <w:fldChar w:fldCharType="separate"/>
      </w:r>
      <w:r>
        <w:rPr>
          <w:rStyle w:val="CharStyle7"/>
          <w:lang w:val="en-US" w:eastAsia="en-US"/>
        </w:rPr>
        <w:t>info@diapazone.su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rStyle w:val="CharStyle7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7"/>
          <w:lang w:val="en-US" w:eastAsia="en-US"/>
        </w:rPr>
        <w:t>ko@sberbank-ast.ru</w:t>
      </w:r>
      <w:r>
        <w:fldChar w:fldCharType="end"/>
      </w:r>
      <w:r>
        <w:rPr>
          <w:rStyle w:val="CharStyle7"/>
          <w:lang w:val="en-US" w:eastAsia="en-US"/>
        </w:rPr>
        <w:t xml:space="preserve">,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7"/>
          <w:lang w:val="en-US" w:eastAsia="en-US"/>
        </w:rPr>
        <w:t>info@sberbank-ast.ru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077/06/106-10887/2025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03.09.2025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ФГБУ «Росдетцентр»: Т.А. Нестеровой (дов. </w:t>
      </w:r>
      <w:r>
        <w:rPr>
          <w:rStyle w:val="CharStyle7"/>
          <w:lang w:val="en-US" w:eastAsia="en-US"/>
        </w:rPr>
        <w:t xml:space="preserve">№ 112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28.05.2025) </w:t>
      </w:r>
      <w:r>
        <w:rPr>
          <w:rStyle w:val="CharStyle7"/>
        </w:rPr>
        <w:t xml:space="preserve">А.В. Вахмистровой (дов. </w:t>
      </w:r>
      <w:r>
        <w:rPr>
          <w:rStyle w:val="CharStyle7"/>
          <w:lang w:val="en-US" w:eastAsia="en-US"/>
        </w:rPr>
        <w:t xml:space="preserve">№ 169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01.09.2025) — </w:t>
      </w:r>
      <w:r>
        <w:rPr>
          <w:rStyle w:val="CharStyle7"/>
        </w:rPr>
        <w:t>присутствовала до переноса заседания,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ООО «Диапазон»: Е.А. Макаровой (дов. </w:t>
      </w:r>
      <w:r>
        <w:rPr>
          <w:rStyle w:val="CharStyle7"/>
          <w:lang w:val="en-US" w:eastAsia="en-US"/>
        </w:rPr>
        <w:t xml:space="preserve">№ 65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01.09.2025),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рассмотрев жалобу ООО «Диапазон»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«Росдетцентр»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электронного аукциона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право заключения государственного контракта на оказание комплекса услуг по предмету: организация и проведение дополнительной общеразвивающей программы «Всероссийский форум лидеров ученического самоуправления «Вектор УСпеха» (Закупка </w:t>
      </w:r>
      <w:r>
        <w:rPr>
          <w:rStyle w:val="CharStyle7"/>
          <w:lang w:val="en-US" w:eastAsia="en-US"/>
        </w:rPr>
        <w:t xml:space="preserve">№ 0373100136125000080)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 заседание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62" w:lineRule="auto"/>
        <w:ind w:left="0" w:right="0" w:firstLine="74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76" w:right="545" w:bottom="773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>
        <w:rPr>
          <w:rStyle w:val="CharStyle7"/>
          <w:sz w:val="24"/>
          <w:szCs w:val="24"/>
          <w:lang w:val="en-US" w:eastAsia="en-US"/>
        </w:rPr>
        <w:t>2025-40538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ч.2 ст.33 Закона о контрактной системе описание объекта закупки в соответствии с требованиями, указанными в 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составе жалобы Заявитель указывает, что Заказчиком установлены противоречивые положения в извещении и требованиях к составу заявки, поскольку в файле «Требования к содержанию и составу заявки», размещенному в составе извещения, установлено: </w:t>
      </w:r>
      <w:r>
        <w:rPr>
          <w:rStyle w:val="CharStyle7"/>
          <w:i/>
          <w:iCs/>
        </w:rPr>
        <w:t xml:space="preserve">«В соответствии со ст. </w:t>
      </w:r>
      <w:r>
        <w:rPr>
          <w:rStyle w:val="CharStyle7"/>
          <w:i/>
          <w:iCs/>
          <w:lang w:val="en-US" w:eastAsia="en-US"/>
        </w:rPr>
        <w:t xml:space="preserve">29 </w:t>
      </w:r>
      <w:r>
        <w:rPr>
          <w:rStyle w:val="CharStyle7"/>
          <w:i/>
          <w:iCs/>
        </w:rPr>
        <w:t xml:space="preserve">ФЗ </w:t>
      </w:r>
      <w:r>
        <w:rPr>
          <w:rStyle w:val="CharStyle7"/>
          <w:i/>
          <w:iCs/>
          <w:lang w:val="en-US" w:eastAsia="en-US"/>
        </w:rPr>
        <w:t xml:space="preserve">44 </w:t>
      </w:r>
      <w:r>
        <w:rPr>
          <w:rStyle w:val="CharStyle7"/>
          <w:i/>
          <w:iCs/>
        </w:rPr>
        <w:t>«О контрактной системе в сфере закупок товаров, работ, услуг для обеспечения государственных и муниципальных нужд» применяются преимущества организациям инвалидов в размере пятнадцати процентов соответственно от цены контракта, предложенной таким участником закупки, от цены единицы товара, работы, услуги, определенной в соответствии с ФЗ-44 на основании предложения такого участника о сумме цен единиц товара, работы, услуги. Предусмотренное увеличение не может превышать начальную (максимальную) цену контракта, начальные цены единиц товара, работы, услуги»</w:t>
      </w:r>
      <w:r>
        <w:rPr>
          <w:rStyle w:val="CharStyle7"/>
        </w:rPr>
        <w:t xml:space="preserve"> при этом в извещении об осуществлении закупки преимущества в соответствии со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 не установлены.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Вместе с этим Заявитель также указывает, что отсутствие необходимости установления преимуществ, предусмотренных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 xml:space="preserve">Закона о контрактной системе указывает также тот факт, что код ОКПД2 </w:t>
      </w:r>
      <w:r>
        <w:rPr>
          <w:rStyle w:val="CharStyle7"/>
          <w:lang w:val="en-US" w:eastAsia="en-US"/>
        </w:rPr>
        <w:t xml:space="preserve">93.29.19.190, </w:t>
      </w:r>
      <w:r>
        <w:rPr>
          <w:rStyle w:val="CharStyle7"/>
        </w:rPr>
        <w:t xml:space="preserve">выбранный Заказчиком, отсутствует в перечне товаров, работ, услуг, при осуществлении закупок которых предоставляются преимущества участнику закупки, являющемуся организацией инвалидов, в соответствии со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>В силу п.3 ч.2 ст.42 Закона о контрактной системе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В соответствии с п.13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 xml:space="preserve">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информацию о предоставлении преимущества в соответствии со ст.28 и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ч.3 ст.43 Закона о контрактной системе требовать от участника закупки представления иных информации и документов, за исключением предусмотренных ч.1 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ст.43 Закона о контрактной системе,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силу пп. «к»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декларацию о принадлежности участника закупки к организации инвалидов, предусмотренной частью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 (если участник закупки является такой организацией).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извещении о проведении закупки установлен код ОКПД2 </w:t>
      </w:r>
      <w:r>
        <w:rPr>
          <w:rStyle w:val="CharStyle7"/>
          <w:lang w:val="en-US" w:eastAsia="en-US"/>
        </w:rPr>
        <w:t xml:space="preserve">93.29.19.190, </w:t>
      </w:r>
      <w:r>
        <w:rPr>
          <w:rStyle w:val="CharStyle7"/>
        </w:rPr>
        <w:t xml:space="preserve">который не включен в перечень товаров, работ, услуг, при осуществлении закупок которых предоставляются преимущества участнику закупки, являющемуся организацией инвалидов, в соответствии со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системе, ввиду чего Заказчиком установлено только преимущество в соответствии с ч.3 ст.30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Вместе с тем Комиссией Управления установлено, что структурированная форма извещения и файл «Требования к содержанию и составу заявки», размещенный в составе извещения, содержат противоречивые сведения относительно преимуществ, предусмотренных ст. </w:t>
      </w:r>
      <w:r>
        <w:rPr>
          <w:rStyle w:val="CharStyle7"/>
          <w:lang w:val="en-US" w:eastAsia="en-US"/>
        </w:rPr>
        <w:t xml:space="preserve">29 </w:t>
      </w:r>
      <w:r>
        <w:rPr>
          <w:rStyle w:val="CharStyle7"/>
        </w:rPr>
        <w:t>Закона о контрактной системе, что может вводить участников закупки в заблуждение и препятствовать формированию и подачи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Заказчика п.3 ч.2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Вместе с тем Комиссия Управления отмечает, что выявленные нарушения не повлияли на ход проведения закупки, поскольку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29.08.2025 </w:t>
      </w:r>
      <w:r>
        <w:rPr>
          <w:rStyle w:val="CharStyle7"/>
        </w:rPr>
        <w:t xml:space="preserve">№ИЭА1 на участие подано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заявок, при этом все признаны соответствующими, снижение составило </w:t>
      </w:r>
      <w:r>
        <w:rPr>
          <w:rStyle w:val="CharStyle7"/>
          <w:lang w:val="en-US" w:eastAsia="en-US"/>
        </w:rPr>
        <w:t xml:space="preserve">27,50%, </w:t>
      </w:r>
      <w:r>
        <w:rPr>
          <w:rStyle w:val="CharStyle7"/>
        </w:rPr>
        <w:t>что свидетельствует об отсутствии ограничения количества участников закупки и объективной возможности формирования и подачи заявки на участие в закупке при установленных требованиях.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9" w:val="left"/>
        </w:tabs>
        <w:bidi w:val="0"/>
        <w:spacing w:before="0" w:after="0" w:line="401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533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Также в составе жалобы Заявитель указывает, что Заказчиком в файле </w:t>
      </w:r>
      <w:r>
        <w:rPr>
          <w:rStyle w:val="CharStyle7"/>
          <w:sz w:val="24"/>
          <w:szCs w:val="24"/>
          <w:lang w:val="en-US" w:eastAsia="en-US"/>
        </w:rPr>
        <w:t>2025-40538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«Требования к содержанию, составу заявки на участие в закупке, инструкция по ее заполнению» установлены требования к предложению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«а) с учетом положений 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 xml:space="preserve">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б) наименование страны происхождения товара в соответствии с общероссийским классификатором, используемым для идентификации стран мира с учетом положений 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Федерального 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объектом закупки является оказание комплекса услуг по предмету: организация и проведение дополнительной общеразвивающей программы «Всероссийский форум лидеров ученического самоуправления «Вектор УСпеха», при этом структурированная форма извещения не содержит требований к поставляемым товарам. Кроме того, извещение об осуществлении закупки не содержит инструкции по заполнению заявки на участие.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по мнению Заявителя, сформированные вышеуказанным образом положения извещения не позволяют участникам закупки представить сведения о поставляемых товарах, как установлено требованиями к содержанию, составу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согласно извещению Заказчиком закупаются услуги по предмету: организация и проведение дополнительной общеразвивающей программы, а не поставка товара, что следует из извещения об осуществлении закупки, ввиду чего не накладывает на участников обязанности по предоставлению сведений о товарах в составе заявки. При этом участникам закупки не запрещается указывать характеристики таких товаров и наименование страны происхождения. В связи с этим, по мнению Заказчика, включение оспариваемых положений в файл «Требования к содержанию составу заявки на участие в закупке» не противоречит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Комиссия Управления отмечает, что п.1 ч.2 ст.43 Закона о контрактной системе однозначно определено, что информация о товаре, предусмотренная пп.«а» и «б» п.2 ч.1 ст.43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 этом Комиссия Управления также отмечает, что согласно письму ФАС России от </w:t>
      </w:r>
      <w:r>
        <w:rPr>
          <w:rStyle w:val="CharStyle7"/>
          <w:lang w:val="en-US" w:eastAsia="en-US"/>
        </w:rPr>
        <w:t xml:space="preserve">25.06.2020 № </w:t>
      </w:r>
      <w:r>
        <w:rPr>
          <w:rStyle w:val="CharStyle7"/>
        </w:rPr>
        <w:t>ИА/53616/20 «По вопросу установления требований к составу заявки (поставляемый, используемый товар)»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товар не передается заказчику по товарной накладной или акту передачи;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товар не принимается к бухгалтерскому учету заказчика в соответствии с Федеральным законом от </w:t>
      </w:r>
      <w:r>
        <w:rPr>
          <w:rStyle w:val="CharStyle7"/>
          <w:lang w:val="en-US" w:eastAsia="en-US"/>
        </w:rPr>
        <w:t xml:space="preserve">06.12.2011 № </w:t>
      </w:r>
      <w:r>
        <w:rPr>
          <w:rStyle w:val="CharStyle7"/>
        </w:rPr>
        <w:t>402-ФЗ «О бухгалтерском учете»;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установлено, что ни Техническое задание, ни проект контракта не содержит информации о поставке товара при оказании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отмечает, что поскольку в рамках данной закупочной процедуры поставка товаров не осуществляется, при этом сведения об иных товарах, которые могут быть квалифицированы как поставляемые, в составе извещения не размещены, оспариваемые требования к составу заявки на участие в закупки установлены Заказчиком неправомерно.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Помимо этого, Комиссия Управления отмечает, что положения извещения, в том числе требования к содержанию и составу заявки на участие в закупке, должны носить однозначный характер и не допускать двоякого трактования.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обращает внимание, что наличие в перечне требований к содержанию и составу заявки на участие в закупке указания на необходимость предоставления определенной информации, в то время как, фактически предоставление установленной в таких положениях информации не требуется в составе заявки на участие в закупке, равно как и установление требования о необходимости предоставления информации, которое применяется в зависимости от исполнения определенных условий, указанных в извещении об осуществлении закупки, отсутствие конкретизации запрашиваемых в составе заявки на участие документов, свидетельствует о нарушении Заказчиком положения Закона о контрактной системе при формирования требований к составу и содержанию заявки на участие в закупке, так как не позволяет участникам закупки однозначным образом определить сведения, необходимые к представлению в составе заявке на участие в закупке, без осуществления дополнительного поиска в составе извещения условий применения требования, что, в свою очередь, может повлечь за собой введение участников закупочной процедуры в заблуждение и отклонение заявок таких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 о нарушении Заказчиком ч.3 ст.43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Комиссия Управления отмечает, что выявленные нарушения не повлияли на ход проведения закупки, поскольку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29.08.2025 </w:t>
      </w:r>
      <w:r>
        <w:rPr>
          <w:rStyle w:val="CharStyle7"/>
        </w:rPr>
        <w:t xml:space="preserve">№ИЭА1 на участие подано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заявок, при этом все признаны соответствующими, снижение составило </w:t>
      </w:r>
      <w:r>
        <w:rPr>
          <w:rStyle w:val="CharStyle7"/>
          <w:lang w:val="en-US" w:eastAsia="en-US"/>
        </w:rPr>
        <w:t xml:space="preserve">27,50%, </w:t>
      </w:r>
      <w:r>
        <w:rPr>
          <w:rStyle w:val="CharStyle7"/>
        </w:rPr>
        <w:t>что свидетельствует об отсутствии ограничения количества участников закупки и объективной возможности формирования и подачи заявки на участие в закупке при установленных требованиях.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доводам жалобы Заявитель также указывает, что Заказчиком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неправомерно не применены позиции КТРУ, например, позиция КТРУ с кодом </w:t>
      </w:r>
      <w:r>
        <w:rPr>
          <w:rStyle w:val="CharStyle7"/>
          <w:lang w:val="en-US" w:eastAsia="en-US"/>
        </w:rPr>
        <w:t xml:space="preserve">32.99.12.110-00000001 </w:t>
      </w:r>
      <w:r>
        <w:rPr>
          <w:rStyle w:val="CharStyle7"/>
        </w:rPr>
        <w:t xml:space="preserve">«Ручка канцелярская», </w:t>
      </w:r>
      <w:r>
        <w:rPr>
          <w:rStyle w:val="CharStyle7"/>
          <w:lang w:val="en-US" w:eastAsia="en-US"/>
        </w:rPr>
        <w:t xml:space="preserve">17.23.13.191-00000001 </w:t>
      </w:r>
      <w:r>
        <w:rPr>
          <w:rStyle w:val="CharStyle7"/>
        </w:rPr>
        <w:t xml:space="preserve">«Блокнот» </w:t>
      </w:r>
      <w:r>
        <w:rPr>
          <w:rStyle w:val="CharStyle7"/>
          <w:lang w:val="en-US" w:eastAsia="en-US"/>
        </w:rPr>
        <w:t xml:space="preserve">22.29.25.000-00000022 </w:t>
      </w:r>
      <w:r>
        <w:rPr>
          <w:rStyle w:val="CharStyle7"/>
        </w:rPr>
        <w:t>«Бейдж», поскольку в Описании объекта закупки Заказчиком установлены требования к используемым при оказании услуг товарам,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по п. </w:t>
      </w:r>
      <w:r>
        <w:rPr>
          <w:rStyle w:val="CharStyle7"/>
          <w:lang w:val="en-US" w:eastAsia="en-US"/>
        </w:rPr>
        <w:t xml:space="preserve">5.4.3. </w:t>
      </w:r>
      <w:r>
        <w:rPr>
          <w:rStyle w:val="CharStyle7"/>
        </w:rPr>
        <w:t>«Ручка брендированная»,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по </w:t>
      </w:r>
      <w:r>
        <w:rPr>
          <w:rStyle w:val="CharStyle7"/>
          <w:lang w:val="en-US" w:eastAsia="en-US"/>
        </w:rPr>
        <w:t xml:space="preserve">5.4.2. </w:t>
      </w:r>
      <w:r>
        <w:rPr>
          <w:rStyle w:val="CharStyle7"/>
        </w:rPr>
        <w:t>«Блокнот брендированный»,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>по п.5.4.8. «Бейдж с лентой брендированный».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7"/>
        </w:rPr>
        <w:t xml:space="preserve">Кроме того, по мнению Заявителя, если Заказчик трактует вышеперечисленные товары как используемые, а не поставляемые, исходя из совокупности норм, установленных Постановлением </w:t>
      </w:r>
      <w:r>
        <w:rPr>
          <w:rStyle w:val="CharStyle7"/>
          <w:lang w:val="en-US" w:eastAsia="en-US"/>
        </w:rPr>
        <w:t xml:space="preserve">№145, </w:t>
      </w:r>
      <w:r>
        <w:rPr>
          <w:rStyle w:val="CharStyle7"/>
        </w:rPr>
        <w:t>следует, что в КТРУ описаны в том числе товары, используемые для выполнения работ, оказания услуг ввиду чего применение такого описание в силу ч.6 ст.23 Закона о контрактной системе, а также п.4 Правил использования КТРУ является обязательным.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в соответствии с извещением о проведении электронного аукциона объектом закупки является оказание комплекса услуг по предмету: организация и проведение дополнительной общеразвивающей программы «Всероссийский форум лидеров ученического самоуправления «Вектор УСпеха», для описания которых Заказчиком выбран код ОКПД2 </w:t>
      </w:r>
      <w:r>
        <w:rPr>
          <w:rStyle w:val="CharStyle7"/>
          <w:lang w:val="en-US" w:eastAsia="en-US"/>
        </w:rPr>
        <w:t xml:space="preserve">93.29.19.190 </w:t>
      </w:r>
      <w:r>
        <w:rPr>
          <w:rStyle w:val="CharStyle7"/>
        </w:rPr>
        <w:t>«Услуги по организации отдыха и развлечений прочие, не включенные в другие группировки».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п.5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3" w:bottom="1224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Положениями 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 145 </w:t>
      </w:r>
      <w:r>
        <w:rPr>
          <w:rStyle w:val="CharStyle7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подпунктами 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п.6 Правил использования КТРУ в случае предоставления иной и дополнительной информации, предусмотренной пунктом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>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2" w:left="1106" w:header="0" w:footer="264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заседании Комиссии Управления представитель Заказчика пояснил, что из раздела «Информация об объекте закупки» извещения, из описания объекта закупки, из проекта контракта следует, что оказание услуг сопровождается обеспечением необходимой продукцией, в частности ее изготовление, брендирование, согласование дизайн-макетов и сигнальных образцов продукции, а </w:t>
      </w:r>
      <w:r>
        <w:rPr>
          <w:rStyle w:val="CharStyle7"/>
          <w:sz w:val="24"/>
          <w:szCs w:val="24"/>
          <w:lang w:val="en-US" w:eastAsia="en-US"/>
        </w:rPr>
        <w:t>2025-40538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также доставка, хранение и выдача продукции по ведомости участникам мероприятия.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ходе заседания Комиссией Управления установлено, что согласно описанию объекта закупки Заказчиком закупаются услуги по проведению дополнительной общеразвивающей программы, включающие в себя услуги по изготовлению брендированной продукции, в частности ручки брендированной, блокнота брендированной, бейджа брендированного. При этом Заказчиком по большей части установлены требования не к самим товарам, а к нанесению текста/изображения лейбла на вышеуказанную продукцию, ввиду чего установленные требования подобным образом не представляется возможным квалифицировать как требования, являющиеся характеристиками к предъявляемым в ходе оказания услуги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право представления информации и документов, подтверждающих обоснованность доводов жалобы, представлено подателю жалобы, однако на заседании Комиссии Управления, а также в составе жалобы Заявителем не представлено документов и сведений, подтверждающих обоснованность вышеуказанного довода жалобы, а также свидетельствующих о нарушении Заказчиком норм Закона о контрактной системе, ввиду чего у Комиссии Управления отсутствуют правовые основания считать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на основании имеющихся документов и сведений, а также с учетом пояснений представителя Заказчика,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Заказчиком в описании объекта закупки неправомерно установлены, в частности следующие требования: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  <w:lang w:val="en-US" w:eastAsia="en-US"/>
        </w:rPr>
        <w:t xml:space="preserve">.10. </w:t>
      </w:r>
      <w:r>
        <w:rPr>
          <w:rStyle w:val="CharStyle7"/>
          <w:i/>
          <w:iCs/>
        </w:rPr>
        <w:t>Обеспечение обязательного наличия у всех представителей ВГ:</w:t>
      </w:r>
    </w:p>
    <w:p>
      <w:pPr>
        <w:pStyle w:val="Style6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6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справки об отсутствии судимости и (или) факта уголовного преследования, срок действия которой составляет не более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>(шести) месяцев с даты выдачи;</w:t>
      </w:r>
    </w:p>
    <w:p>
      <w:pPr>
        <w:pStyle w:val="Style6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6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медицинских книжек для работников, деятельность которых связана с воспитанием и обучением детей (соответствующая форме, указанной в Приказе Роспотребнадзора от </w:t>
      </w:r>
      <w:r>
        <w:rPr>
          <w:rStyle w:val="CharStyle7"/>
          <w:i/>
          <w:iCs/>
          <w:lang w:val="en-US" w:eastAsia="en-US"/>
        </w:rPr>
        <w:t>21.02.2022 № 55;</w:t>
      </w:r>
    </w:p>
    <w:p>
      <w:pPr>
        <w:pStyle w:val="Style6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6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>иных документов необходимых для оформления пропусков на территорию места проведения Мероприятия (МДЦ «Артек»).</w:t>
      </w:r>
    </w:p>
    <w:p>
      <w:pPr>
        <w:pStyle w:val="Style6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6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>Все расходы, связанные с оформлением документов, необходимых для оформления пропусков в МДЦ «Артек» берет на себя Исполнитель»</w:t>
      </w:r>
      <w:r>
        <w:rPr>
          <w:rStyle w:val="CharStyle7"/>
        </w:rPr>
        <w:t xml:space="preserve"> поскольку из п.6.2, </w:t>
      </w:r>
      <w:r>
        <w:rPr>
          <w:rStyle w:val="CharStyle7"/>
          <w:lang w:val="en-US" w:eastAsia="en-US"/>
        </w:rPr>
        <w:t xml:space="preserve">6.3, 5.5.2 </w:t>
      </w:r>
      <w:r>
        <w:rPr>
          <w:rStyle w:val="CharStyle7"/>
        </w:rPr>
        <w:t>описания объекта закупки следует, что волонтеры и эксперты являются сотрудниками Заказчика, ввиду чего все необходимые сведения о данных лицах имеются (или должны иметься) в распоряжении у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этом в обоснование своей позиции Заявитель указывает, что в соответствии с пунктом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Приказа МВД России от </w:t>
      </w:r>
      <w:r>
        <w:rPr>
          <w:rStyle w:val="CharStyle7"/>
          <w:lang w:val="en-US" w:eastAsia="en-US"/>
        </w:rPr>
        <w:t xml:space="preserve">27.09.2019 №660 </w:t>
      </w:r>
      <w:r>
        <w:rPr>
          <w:rStyle w:val="CharStyle7"/>
        </w:rPr>
        <w:t xml:space="preserve">предоставление услуги по выдаче справок об отсутствии судимости осуществляется в течение </w:t>
      </w:r>
      <w:r>
        <w:rPr>
          <w:rStyle w:val="CharStyle7"/>
          <w:lang w:val="en-US" w:eastAsia="en-US"/>
        </w:rPr>
        <w:t xml:space="preserve">30 </w:t>
      </w:r>
      <w:r>
        <w:rPr>
          <w:rStyle w:val="CharStyle7"/>
        </w:rPr>
        <w:t xml:space="preserve">календарных дней с возможностью продления срока еще на </w:t>
      </w:r>
      <w:r>
        <w:rPr>
          <w:rStyle w:val="CharStyle7"/>
          <w:lang w:val="en-US" w:eastAsia="en-US"/>
        </w:rPr>
        <w:t xml:space="preserve">30 </w:t>
      </w:r>
      <w:r>
        <w:rPr>
          <w:rStyle w:val="CharStyle7"/>
        </w:rPr>
        <w:t xml:space="preserve">календарных дней, при этом контракт будет заключен в сентябре, начало проведения мероприятия </w:t>
      </w:r>
      <w:r>
        <w:rPr>
          <w:rStyle w:val="CharStyle7"/>
          <w:lang w:val="en-US" w:eastAsia="en-US"/>
        </w:rPr>
        <w:t xml:space="preserve">«25» </w:t>
      </w:r>
      <w:r>
        <w:rPr>
          <w:rStyle w:val="CharStyle7"/>
        </w:rPr>
        <w:t>сентября, соответственно, обеспечить волонтеров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экспертов необходимыми справками об отсутствии судимости и медицинскими книжками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физически невозможно в такие короткие сроки.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соответствии с п.2.3, </w:t>
      </w:r>
      <w:r>
        <w:rPr>
          <w:rStyle w:val="CharStyle7"/>
          <w:lang w:val="en-US" w:eastAsia="en-US"/>
        </w:rPr>
        <w:t xml:space="preserve">3.3 </w:t>
      </w:r>
      <w:r>
        <w:rPr>
          <w:rStyle w:val="CharStyle7"/>
        </w:rPr>
        <w:t xml:space="preserve">описания объекта закупки Заказчик передает списки волонтеров и экспертов. Согласно пункту </w:t>
      </w:r>
      <w:r>
        <w:rPr>
          <w:rStyle w:val="CharStyle7"/>
          <w:lang w:val="en-US" w:eastAsia="en-US"/>
        </w:rPr>
        <w:t xml:space="preserve">2.10.4 </w:t>
      </w:r>
      <w:r>
        <w:rPr>
          <w:rStyle w:val="CharStyle7"/>
        </w:rPr>
        <w:t>описания объекта закупки Исполнитель берет на себя расходы, связанные только с документами, которые необходимы для оформления пропусков на территорию МДЦ «Артек».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Волонтеры и эксперты, привлекаемые к участию в мероприятии, изначально отбираются Заказчиком с учётом их допуска к работе с несовершеннолетними. Их основная деятельность связана с образовательной, воспитательной или просветительской сферой, где наличие справки об отсутствии судимости и личной медицинской книжки является обязательным требованием. Лица, включаемые в состав волонтерской группы и экспертной труппы, как правило, регулярно участвуют в аналогичных мероприятиях, поэтому у них уже имеются актуальные документы, либо они могут быть оформлены в сроки, не влекущие нарушения обязательств со стороны Исполнителя. Исполнитель не несёт обязанности по инициированию запросов в МВД или иные органы от имени волонтеров и экспертов. Вместе с тем, как предусмотрено описанием объекта закупки Исполнитель берёт на себя организационную функцию по сбору и передаче уже имеющихся у данных лиц документов для оформления пропусков на территорию МДЦ «Артек». Данная функция не влечёт юридической ответственности за получение документов, а предполагает исключительно координацию процесса: бор проверку актуальности и передачу в уполномоченные структуры.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тем, вопреки пояснениям представителя Заказчика о том, что исполнитель не несёт обязанности по инициированию запросов в МВД или иные органы от имени волонтеров и экспертов, а берёт на себя исключительно организационную функцию по сбору и передаче уже имеющихся у данных лиц документов для оформления пропусков на территорию МДЦ «Артек», Комиссия Управления отмечает, что установленные Заказчиком в п.2.10-2.10.4 описания объекта закупки требования предъявляются к исполнителю контракта, при этом такие требования касаются, в том числе обеспечения исполнителем обязательного наличия у всех представителей справки об отсутствии судимости, медицинских книжек для работников, иных документов необходимых для оформления пропусков на территорию места проведения мероприятия предъявляются к исполнителю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отмечает, что Заказчиком предъявляются неправомерные, неисполнимые требования к исполнителю контракта, поскольку, например, согласно п.10 Приказа МВД России от </w:t>
      </w:r>
      <w:r>
        <w:rPr>
          <w:rStyle w:val="CharStyle7"/>
          <w:lang w:val="en-US" w:eastAsia="en-US"/>
        </w:rPr>
        <w:t xml:space="preserve">27.09.2019 № 660 </w:t>
      </w:r>
      <w:r>
        <w:rPr>
          <w:rStyle w:val="CharStyle7"/>
        </w:rPr>
        <w:t xml:space="preserve">предоставление услуги по выдаче справок об отсутствии судимости осуществляется в течение </w:t>
      </w:r>
      <w:r>
        <w:rPr>
          <w:rStyle w:val="CharStyle7"/>
          <w:lang w:val="en-US" w:eastAsia="en-US"/>
        </w:rPr>
        <w:t xml:space="preserve">30 </w:t>
      </w:r>
      <w:r>
        <w:rPr>
          <w:rStyle w:val="CharStyle7"/>
        </w:rPr>
        <w:t xml:space="preserve">календарных дней, при необходимости получения дополнительной информации срок рассмотрения заявления может быть продлен но не более чем на </w:t>
      </w:r>
      <w:r>
        <w:rPr>
          <w:rStyle w:val="CharStyle7"/>
          <w:lang w:val="en-US" w:eastAsia="en-US"/>
        </w:rPr>
        <w:t xml:space="preserve">30 </w:t>
      </w:r>
      <w:r>
        <w:rPr>
          <w:rStyle w:val="CharStyle7"/>
        </w:rPr>
        <w:t>календарных дней, при этом контракт в соответствии со ст.51 Закона о контрактной системе будет заключен не ранее чем через десять дней с даты размещения в единой информационной системе протокола подведения итогов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определения поставщика (подрядчика, исполнителя) </w:t>
      </w:r>
      <w:r>
        <w:rPr>
          <w:rStyle w:val="CharStyle7"/>
          <w:lang w:val="en-US" w:eastAsia="en-US"/>
        </w:rPr>
        <w:t xml:space="preserve">— 29.08.2025, </w:t>
      </w:r>
      <w:r>
        <w:rPr>
          <w:rStyle w:val="CharStyle7"/>
        </w:rPr>
        <w:t xml:space="preserve">в то время как начало проведения мероприятия назначено на </w:t>
      </w:r>
      <w:r>
        <w:rPr>
          <w:rStyle w:val="CharStyle7"/>
          <w:lang w:val="en-US" w:eastAsia="en-US"/>
        </w:rPr>
        <w:t xml:space="preserve">25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года, что свидетельствует о том, что вышеуказанное требование является неисполнимым.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Таким образом, Комиссия Управления приходит к выводу о нарушении Заказчиком п.1 ч.1 ст.33 Закона о контрактной системе 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7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Признать жалобу ООО «Диапазон» на действия комиссии ФГБУ «Росдетцентр» обоснованной в части установления неправомерных противоречивых требований.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7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Признать в действиях комиссии Заказчика нарушение п.3 ч.2 ст.42, ч.3 ст.43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7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7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52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850000000000001pt;margin-top:10.pt;width:145.20000000000002pt;height:19.900000000000002pt;z-index:-125829371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44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5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8.55000000000001pt;margin-top:10.pt;width:89.5pt;height:19.900000000000002pt;z-index:-125829368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7.40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009EC19D0AD083DC593EE489E44F6A415</w:t>
      </w:r>
      <w:r>
        <w:rPr>
          <w:rStyle w:val="CharStyle20"/>
          <w:lang w:val="en-US" w:eastAsia="en-US"/>
        </w:rPr>
        <w:t>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21.01.2025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3102610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77.40000000000003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5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10266045</wp:posOffset>
              </wp:positionV>
              <wp:extent cx="72517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550000000000004pt;margin-top:808.35000000000002pt;width:57.1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50000000000001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850000000000001pt;margin-top:794.70000000000005pt;width:56.89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6.850000000000001pt;margin-top:794.70000000000005pt;width:56.899999999999999pt;height:8.15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6.850000000000001pt;margin-top:794.70000000000005pt;width:56.899999999999999pt;height:8.1500000000000004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3886200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6.pt;margin-top:37.5pt;width:10.5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421640</wp:posOffset>
              </wp:positionV>
              <wp:extent cx="7302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94999999999999pt;margin-top:33.200000000000003pt;width:5.75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3886200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6.pt;margin-top:37.5pt;width:10.55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3886200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6.pt;margin-top:37.5pt;width:10.550000000000001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421640</wp:posOffset>
              </wp:positionV>
              <wp:extent cx="7302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8.94999999999999pt;margin-top:33.200000000000003pt;width:5.75pt;height:8.4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421640</wp:posOffset>
              </wp:positionV>
              <wp:extent cx="73025" cy="10668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8.94999999999999pt;margin-top:33.200000000000003pt;width:5.75pt;height:8.4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3886200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6.pt;margin-top:37.5pt;width:10.55000000000000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3886200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6.pt;margin-top:37.5pt;width:10.550000000000001pt;height:8.1500000000000004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2"/>
      <w:numFmt w:val="decimal"/>
      <w:lvlText w:val="%1."/>
    </w:lvl>
    <w:lvl w:ilvl="1">
      <w:start w:val="10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Relationship Id="rId29" Type="http://schemas.openxmlformats.org/officeDocument/2006/relationships/image" Target="media/image4.jpeg"/><Relationship Id="rId30" Type="http://schemas.openxmlformats.org/officeDocument/2006/relationships/image" Target="media/image4.jpeg" TargetMode="External"/><Relationship Id="rId31" Type="http://schemas.openxmlformats.org/officeDocument/2006/relationships/image" Target="media/image5.jpeg"/><Relationship Id="rId32" Type="http://schemas.openxmlformats.org/officeDocument/2006/relationships/image" Target="media/image5.jpeg" TargetMode="External"/></Relationships>
</file>