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65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mc:AlternateContent>
          <mc:Choice Requires="wps">
            <w:drawing>
              <wp:anchor distT="0" distB="42545" distL="239395" distR="114300" simplePos="0" relativeHeight="125829378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50800</wp:posOffset>
                </wp:positionV>
                <wp:extent cx="2456815" cy="216408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6815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178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№ 35948/25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01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 xml:space="preserve">ОТ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6.599999999999994pt;margin-top:4.pt;width:193.45000000000002pt;height:170.40000000000001pt;z-index:-125829375;mso-wrap-distance-left:18.850000000000001pt;mso-wrap-distance-right:9.pt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178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№ 35948/25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01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 xml:space="preserve">ОТ 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49095" distB="0" distL="114300" distR="1480185" simplePos="0" relativeHeight="125829380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1699895</wp:posOffset>
                </wp:positionV>
                <wp:extent cx="1216025" cy="5575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14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08.</w:t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09.2025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75pt;margin-top:133.84999999999999pt;width:95.75pt;height:43.899999999999999pt;z-index:-125829373;mso-wrap-distance-left:9.pt;mso-wrap-distance-top:129.84999999999999pt;mso-wrap-distance-right:116.5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14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08.</w:t>
                      </w: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09.2025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На№ 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</w:rPr>
        <w:t xml:space="preserve">ФГБУ «ВНИИИМТ» Росздравнадзора </w:t>
      </w:r>
      <w:r>
        <w:fldChar w:fldCharType="begin"/>
      </w:r>
      <w:r>
        <w:rPr/>
        <w:instrText> HYPERLINK "mailto:zakupki2025@vniiimt.ru" </w:instrText>
      </w:r>
      <w:r>
        <w:fldChar w:fldCharType="separate"/>
      </w:r>
      <w:r>
        <w:rPr>
          <w:rStyle w:val="CharStyle10"/>
          <w:lang w:val="en-US" w:eastAsia="en-US"/>
        </w:rPr>
        <w:t>zakupki2025@vniiimt.ru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both"/>
      </w:pPr>
      <w:r>
        <w:rPr>
          <w:rStyle w:val="CharStyle10"/>
        </w:rPr>
        <w:t xml:space="preserve">ООО «Солинг» </w:t>
      </w:r>
      <w:r>
        <w:fldChar w:fldCharType="begin"/>
      </w:r>
      <w:r>
        <w:rPr/>
        <w:instrText> HYPERLINK "mailto:soling-yacht@mail.ru" </w:instrText>
      </w:r>
      <w:r>
        <w:fldChar w:fldCharType="separate"/>
      </w:r>
      <w:r>
        <w:rPr>
          <w:rStyle w:val="CharStyle10"/>
          <w:lang w:val="en-US" w:eastAsia="en-US"/>
        </w:rPr>
        <w:t>soling-yacht@mail.ru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1040" w:right="0" w:firstLine="0"/>
        <w:jc w:val="both"/>
      </w:pPr>
      <w:r>
        <w:rPr>
          <w:rStyle w:val="CharStyle10"/>
        </w:rPr>
        <w:t xml:space="preserve">ООО «ИНДИ-Т» </w:t>
      </w:r>
      <w:r>
        <w:fldChar w:fldCharType="begin"/>
      </w:r>
      <w:r>
        <w:rPr/>
        <w:instrText> HYPERLINK "mailto:dio-tender@mail.ru" </w:instrText>
      </w:r>
      <w:r>
        <w:fldChar w:fldCharType="separate"/>
      </w:r>
      <w:r>
        <w:rPr>
          <w:rStyle w:val="CharStyle10"/>
          <w:lang w:val="en-US" w:eastAsia="en-US"/>
        </w:rPr>
        <w:t>dio-tender@mail.ru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82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393700</wp:posOffset>
                </wp:positionV>
                <wp:extent cx="1237615" cy="45720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03.09.2025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5.800000000000004pt;margin-top:31.pt;width:97.450000000000003pt;height:36.pt;z-index:-125829371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03.09.2025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0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  <w:b/>
          <w:bCs/>
        </w:rPr>
        <w:t>по делу № 077/06/106-10886/2025 о нарушении</w:t>
        <w:br/>
        <w:t>законодательства о контрактной системе</w:t>
        <w:br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по контролю в сфере закупок товаров, работ, услуг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 — главного государственного инспектора отдела об</w:t>
        <w:softHyphen/>
        <w:t>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ФГБУ «ВНИИИМТ» Росздравнадзора: Д.В. Скворцова (по дов. от 23.06.2025 №39/25), Д.Г. Караченко (по дов. от 09.04.2025 №30/25),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ООО «Солинг»: И.А. Игнатьева (по дов. от 01.09.2025 №1),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отсутствие представителей ООО «ИНДИ-Т», о времени и порядке заседания Комиссии Управления уведомленных надлежащим образом Московским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>рассмотрев жалобу ООО «Солинг» (далее — Заявитель) на действия ФГБУ «ВНИИИМТ» Росздравнадзора (далее — Заказчик) при проведении запроса котировок в электронной форме на право заключения государственного контракта на поставку компьютеров персональных настольных (моноблоков) для нужд ФГБУ «ВНИИИМТ» Росздравнадзора (Закупка №0373100011625000100) (далее – запрос котировок) в соответствии с Федеральным законом от 05.04.2013 №44-ФЗ «О контрактной системе в сфере закупок товаров, работ, услуг для обеспечения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rStyle w:val="CharStyle10"/>
        </w:rPr>
        <w:t xml:space="preserve">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комиссия Заказчика) при проведении вышеуказанного запроса котировок.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заседание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составе жалобы Заявитель обжалует действия комиссии Заказчика, выразившиеся в неправомерном признании заявки участника с идентификационным номером </w:t>
      </w:r>
      <w:r>
        <w:rPr>
          <w:rStyle w:val="CharStyle10"/>
          <w:lang w:val="en-US" w:eastAsia="en-US"/>
        </w:rPr>
        <w:t xml:space="preserve">119522540 </w:t>
      </w:r>
      <w:r>
        <w:rPr>
          <w:rStyle w:val="CharStyle10"/>
        </w:rPr>
        <w:t xml:space="preserve">соответствующей требованиям извещения об осуществлении закупки, поскольку, по мнению подателя жалобы, ценовое предложение участника не соответствует продукции изготовителей, подтверждающих свое производство на территории стран Евразийского экономического союза, что свидетельствует о том, что в составе заявки указанного участника не могла быть подтверждена страна происхождения товара в соответствии с ограничениями, предусмотренными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23.12.2024 № 1875 </w:t>
      </w:r>
      <w:r>
        <w:rPr>
          <w:rStyle w:val="CharStyle1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>№ 1875).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28.08.2025 </w:t>
      </w:r>
      <w:r>
        <w:rPr>
          <w:rStyle w:val="CharStyle10"/>
        </w:rPr>
        <w:t xml:space="preserve">№ИЗК1 заявка участника с идентификационным номером </w:t>
      </w:r>
      <w:r>
        <w:rPr>
          <w:rStyle w:val="CharStyle10"/>
          <w:lang w:val="en-US" w:eastAsia="en-US"/>
        </w:rPr>
        <w:t xml:space="preserve">119522540 </w:t>
      </w:r>
      <w:r>
        <w:rPr>
          <w:rStyle w:val="CharStyle10"/>
        </w:rPr>
        <w:t xml:space="preserve">признана соответствующей требованиям извещения об осуществлении запроса котировок, кроме того, данный участник признан победителем процедуры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Победитель).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ч.2 ст.14 Закона о контрактной системе Правительство Российской Федерации: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ч.2 ст.14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описанию объекта закупки к поставке Заказчику требуется товар «Компьютер персональный настольный (моноблок)» позиции КТРУ </w:t>
      </w:r>
      <w:r>
        <w:rPr>
          <w:rStyle w:val="CharStyle10"/>
          <w:lang w:val="en-US" w:eastAsia="en-US"/>
        </w:rPr>
        <w:t>26.20.15.000</w:t>
        <w:softHyphen/>
        <w:t xml:space="preserve">00000038 </w:t>
      </w:r>
      <w:r>
        <w:rPr>
          <w:rStyle w:val="CharStyle10"/>
        </w:rPr>
        <w:t xml:space="preserve">и кода ОКПД2 </w:t>
      </w:r>
      <w:r>
        <w:rPr>
          <w:rStyle w:val="CharStyle10"/>
          <w:lang w:val="en-US" w:eastAsia="en-US"/>
        </w:rPr>
        <w:t xml:space="preserve">26.20.15.000, </w:t>
      </w:r>
      <w:r>
        <w:rPr>
          <w:rStyle w:val="CharStyle10"/>
        </w:rPr>
        <w:t xml:space="preserve">в отношении которого Заказчиком установлены ограничения закупок товаров, происходящих из иностранных государств, предусмотренные абз.3 п.1 Постановления </w:t>
      </w:r>
      <w:r>
        <w:rPr>
          <w:rStyle w:val="CharStyle10"/>
          <w:lang w:val="en-US" w:eastAsia="en-US"/>
        </w:rPr>
        <w:t>№ 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ч.1 ст.50 Закона о контрактной системе заявка на участие в закупке должна содержать информацию и документы, предусмотренные пп. «м»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«п» п.1, пп. 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«в» п.2, п.3 или п.4, п.5 ч.1 ст.43 Закона о контрактной системе. Заявка также может содержать информацию и документы, предусмотренные пп. «д» п.2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а) 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системе, товарный знак (при наличии у товара товарного знака);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б)наименование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539" w:bottom="1114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с учетом положений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 xml:space="preserve">Закона о контрактной системе предложение по критериям, предусмотренным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(или)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Закона о контрактной системе(в случае проведения конкурсов и установления таких критериев). При этом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пп. «а», «б» п.3 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установить, что информацией и документами, подтверждающими страну происхождения товара для целей Постановления </w:t>
      </w:r>
      <w:r>
        <w:rPr>
          <w:rStyle w:val="CharStyle10"/>
          <w:lang w:val="en-US" w:eastAsia="en-US"/>
        </w:rPr>
        <w:t xml:space="preserve">№ 1875, </w:t>
      </w:r>
      <w:r>
        <w:rPr>
          <w:rStyle w:val="CharStyle10"/>
        </w:rPr>
        <w:t>являются: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для подтверждения происхождения товаров, указанных в позициях </w:t>
      </w:r>
      <w:r>
        <w:rPr>
          <w:rStyle w:val="CharStyle10"/>
          <w:lang w:val="en-US" w:eastAsia="en-US"/>
        </w:rPr>
        <w:t xml:space="preserve">1 - 145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1 </w:t>
      </w:r>
      <w:r>
        <w:rPr>
          <w:rStyle w:val="CharStyle10"/>
        </w:rPr>
        <w:t xml:space="preserve">к настоящему постановлению, позициях </w:t>
      </w:r>
      <w:r>
        <w:rPr>
          <w:rStyle w:val="CharStyle10"/>
          <w:lang w:val="en-US" w:eastAsia="en-US"/>
        </w:rPr>
        <w:t xml:space="preserve">1 - 433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настоящему постановлению, приложении </w:t>
      </w:r>
      <w:r>
        <w:rPr>
          <w:rStyle w:val="CharStyle10"/>
          <w:lang w:val="en-US" w:eastAsia="en-US"/>
        </w:rPr>
        <w:t xml:space="preserve">№ 3 </w:t>
      </w:r>
      <w:r>
        <w:rPr>
          <w:rStyle w:val="CharStyle10"/>
        </w:rPr>
        <w:t xml:space="preserve">к настоящему постановлению, из Российской Федерации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0"/>
          <w:lang w:val="en-US" w:eastAsia="en-US"/>
        </w:rPr>
        <w:t xml:space="preserve">17.1 </w:t>
      </w:r>
      <w:r>
        <w:rPr>
          <w:rStyle w:val="CharStyle10"/>
        </w:rPr>
        <w:t>Федерального закона «О промышленной политике в Российской Федерации», содержащей в том числе: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17 </w:t>
      </w:r>
      <w:r>
        <w:rPr>
          <w:rStyle w:val="CharStyle10"/>
        </w:rPr>
        <w:t xml:space="preserve">июля </w:t>
      </w:r>
      <w:r>
        <w:rPr>
          <w:rStyle w:val="CharStyle10"/>
          <w:lang w:val="en-US" w:eastAsia="en-US"/>
        </w:rPr>
        <w:t xml:space="preserve">2015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719 </w:t>
      </w:r>
      <w:r>
        <w:rPr>
          <w:rStyle w:val="CharStyle10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17 </w:t>
      </w:r>
      <w:r>
        <w:rPr>
          <w:rStyle w:val="CharStyle10"/>
        </w:rPr>
        <w:t xml:space="preserve">июля </w:t>
      </w:r>
      <w:r>
        <w:rPr>
          <w:rStyle w:val="CharStyle10"/>
          <w:lang w:val="en-US" w:eastAsia="en-US"/>
        </w:rPr>
        <w:t xml:space="preserve">2015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719 </w:t>
      </w:r>
      <w:r>
        <w:rPr>
          <w:rStyle w:val="CharStyle10"/>
        </w:rPr>
        <w:t xml:space="preserve">«О подтверждении производства российской промышленной продукции» для целей осуществления закупок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>№719);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информацию об уровне радиоэлектронной продукции (для товара, являющегося в соответствии с Постановлением </w:t>
      </w:r>
      <w:r>
        <w:rPr>
          <w:rStyle w:val="CharStyle10"/>
          <w:lang w:val="en-US" w:eastAsia="en-US"/>
        </w:rPr>
        <w:t xml:space="preserve">№719 </w:t>
      </w:r>
      <w:r>
        <w:rPr>
          <w:rStyle w:val="CharStyle10"/>
        </w:rPr>
        <w:t>радиоэлектронной продукцией первого уровня или радиоэлектронной продукцией второго уровня);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96" w:left="1101" w:header="0" w:footer="268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для подтверждения происхождения товаров, указанных в позициях </w:t>
      </w:r>
      <w:r>
        <w:rPr>
          <w:rStyle w:val="CharStyle10"/>
          <w:lang w:val="en-US" w:eastAsia="en-US"/>
        </w:rPr>
        <w:t xml:space="preserve">1 - 145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1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 1875, </w:t>
      </w:r>
      <w:r>
        <w:rPr>
          <w:rStyle w:val="CharStyle10"/>
        </w:rPr>
        <w:t xml:space="preserve">позициях </w:t>
      </w:r>
      <w:r>
        <w:rPr>
          <w:rStyle w:val="CharStyle10"/>
          <w:lang w:val="en-US" w:eastAsia="en-US"/>
        </w:rPr>
        <w:t xml:space="preserve">1 - 433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 1875, </w:t>
      </w:r>
      <w:r>
        <w:rPr>
          <w:rStyle w:val="CharStyle10"/>
        </w:rPr>
        <w:t xml:space="preserve">приложении </w:t>
      </w:r>
      <w:r>
        <w:rPr>
          <w:rStyle w:val="CharStyle10"/>
          <w:lang w:val="en-US" w:eastAsia="en-US"/>
        </w:rPr>
        <w:t xml:space="preserve">№ 3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 1875, </w:t>
      </w:r>
      <w:r>
        <w:rPr>
          <w:rStyle w:val="CharStyle10"/>
        </w:rPr>
        <w:t xml:space="preserve">из государств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членов Евразийского экономического союза, порядок </w:t>
      </w:r>
      <w:r>
        <w:rPr>
          <w:rStyle w:val="CharStyle10"/>
          <w:sz w:val="24"/>
          <w:szCs w:val="24"/>
          <w:lang w:val="en-US" w:eastAsia="en-US"/>
        </w:rPr>
        <w:t>2025-40607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формирования и ведения которого устанавливается правом Евразийского экономического союза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евразийский реестр промышленных товаров), содержащей в том числе: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П.26 Постановления </w:t>
      </w:r>
      <w:r>
        <w:rPr>
          <w:rStyle w:val="CharStyle10"/>
          <w:lang w:val="en-US" w:eastAsia="en-US"/>
        </w:rPr>
        <w:t xml:space="preserve">№719 </w:t>
      </w:r>
      <w:r>
        <w:rPr>
          <w:rStyle w:val="CharStyle10"/>
        </w:rPr>
        <w:t xml:space="preserve">предусмотрено, что продукция, которая включена в раздел </w:t>
      </w:r>
      <w:r>
        <w:rPr>
          <w:rStyle w:val="CharStyle10"/>
          <w:lang w:val="en-US" w:eastAsia="en-US"/>
        </w:rPr>
        <w:t xml:space="preserve">IX </w:t>
      </w:r>
      <w:r>
        <w:rPr>
          <w:rStyle w:val="CharStyle10"/>
        </w:rPr>
        <w:t xml:space="preserve">приложения и для которой установлены баллы за выполнение технологической операции по применению центрального процессора, удовлетворяющего требованиям к интегральной схеме первого уровня или интегральной схеме второго уровня, предъявляемым в целях ее отнесения к российской промышленной продукции, в случае выполнения соответствующей технологической операции признается радиоэлектронной продукцией первого уровня, в случае невыполнения и применения в ее составе центрального процессора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радиоэлектронной продукцией второго уровня.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продукция, включенная в раздел </w:t>
      </w:r>
      <w:r>
        <w:rPr>
          <w:rStyle w:val="CharStyle10"/>
          <w:lang w:val="en-US" w:eastAsia="en-US"/>
        </w:rPr>
        <w:t xml:space="preserve">IX </w:t>
      </w:r>
      <w:r>
        <w:rPr>
          <w:rStyle w:val="CharStyle10"/>
        </w:rPr>
        <w:t>приложения (для продукции, в отношении которой установлены баллы за выполнение технологических операций), может быть отнесена к российской промышленной продукции при условии достижения в совокупности следующего суммарного количества баллов за выполнение на территории Российской Федерации указанных операций для каждой единицы продукции: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.20.15 </w:t>
      </w:r>
      <w:r>
        <w:rPr>
          <w:rStyle w:val="CharStyle10"/>
        </w:rPr>
        <w:t xml:space="preserve">«Машины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вывода»: до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2022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не менее </w:t>
      </w:r>
      <w:r>
        <w:rPr>
          <w:rStyle w:val="CharStyle10"/>
          <w:lang w:val="en-US" w:eastAsia="en-US"/>
        </w:rPr>
        <w:t xml:space="preserve">90 </w:t>
      </w:r>
      <w:r>
        <w:rPr>
          <w:rStyle w:val="CharStyle10"/>
        </w:rPr>
        <w:t xml:space="preserve">баллов; с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января </w:t>
      </w:r>
      <w:r>
        <w:rPr>
          <w:rStyle w:val="CharStyle10"/>
          <w:lang w:val="en-US" w:eastAsia="en-US"/>
        </w:rPr>
        <w:t xml:space="preserve">2023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не менее </w:t>
      </w:r>
      <w:r>
        <w:rPr>
          <w:rStyle w:val="CharStyle10"/>
          <w:lang w:val="en-US" w:eastAsia="en-US"/>
        </w:rPr>
        <w:t xml:space="preserve">100 </w:t>
      </w:r>
      <w:r>
        <w:rPr>
          <w:rStyle w:val="CharStyle10"/>
        </w:rPr>
        <w:t xml:space="preserve">баллов; с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января </w:t>
      </w:r>
      <w:r>
        <w:rPr>
          <w:rStyle w:val="CharStyle10"/>
          <w:lang w:val="en-US" w:eastAsia="en-US"/>
        </w:rPr>
        <w:t xml:space="preserve">2024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не менее </w:t>
      </w:r>
      <w:r>
        <w:rPr>
          <w:rStyle w:val="CharStyle10"/>
          <w:lang w:val="en-US" w:eastAsia="en-US"/>
        </w:rPr>
        <w:t xml:space="preserve">140 </w:t>
      </w:r>
      <w:r>
        <w:rPr>
          <w:rStyle w:val="CharStyle10"/>
        </w:rPr>
        <w:t>баллов.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при прямом толковании положений 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и Постановления </w:t>
      </w:r>
      <w:r>
        <w:rPr>
          <w:rStyle w:val="CharStyle10"/>
          <w:lang w:val="en-US" w:eastAsia="en-US"/>
        </w:rPr>
        <w:t xml:space="preserve">№ 719 </w:t>
      </w:r>
      <w:r>
        <w:rPr>
          <w:rStyle w:val="CharStyle10"/>
        </w:rPr>
        <w:t>Комиссия Управления полагает, что для соответствующего подтверждения страны происхождения товаров, происходящих на территории Российской Федерации, необходима информации о совокупном количестве баллов за выполнение (освоение) на территории Российской Федерации соответствующих операций (условий), установленных для целей осуществления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что, подав заявку, Победитель конклюдентно выразил согласие на поставку товара на условиях извещения, а также представил следующие документы и сведения в качестве подтверждения страны происхождения предлагаемого товара «Компьютер персональный настольный (моноблок)» товарного знака </w:t>
      </w:r>
      <w:r>
        <w:rPr>
          <w:rStyle w:val="CharStyle10"/>
          <w:lang w:val="en-US" w:eastAsia="en-US"/>
        </w:rPr>
        <w:t xml:space="preserve">Dio, </w:t>
      </w:r>
      <w:r>
        <w:rPr>
          <w:rStyle w:val="CharStyle10"/>
        </w:rPr>
        <w:t>в частности, указан номер реестровой записи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lang w:val="en-US" w:eastAsia="en-US"/>
        </w:rPr>
        <w:t xml:space="preserve">10336986, </w:t>
      </w:r>
      <w:r>
        <w:rPr>
          <w:rStyle w:val="CharStyle10"/>
        </w:rPr>
        <w:t xml:space="preserve">а также декларировано совокупное количество баллов </w:t>
      </w:r>
      <w:r>
        <w:rPr>
          <w:rStyle w:val="CharStyle10"/>
          <w:lang w:val="en-US" w:eastAsia="en-US"/>
        </w:rPr>
        <w:t>140.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представитель Заказчика пояснил, что вопреки доводам жалобы комиссией Заказчика надлежащим образом рассмотрены заявки участников запроса котировок, по результатам которых установлено соответствие заявки Победителя условиям извещения. Каких-либо оснований для признания заявки несоответствующей требованиям извещения и Закона о контрактной системе при рассмотрении заявки Победителя у комиссии Заказчика не имелось.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свою очередь, 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представителем Заявителя, а также в составе жалобы Заявителем, не представлено документов и сведений, свидетельствующих о несоответствие заявки Победителя требованиям извещения и Закона о контрактной системе, а также свидетельствующих о неправомерности действий комиссии по осуществлению закупок Заказчика при рассмотрении заявок участников запроса котировок.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таких данных Комиссия Управления приходит к выводу о том, что решение комиссии Заказчика о признании заявки Победителя соответствующей требованиям извещения об осуществлении закупки является правомерным и не противоречит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ч.3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</w:t>
      </w:r>
      <w:r>
        <w:rPr>
          <w:rStyle w:val="CharStyle10"/>
          <w:lang w:val="en-US" w:eastAsia="en-US"/>
        </w:rPr>
        <w:t xml:space="preserve">1 - 8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>ст.48Закона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114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на основании решения, предусмотренного пп.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22 </w:t>
      </w:r>
      <w:r>
        <w:rPr>
          <w:rStyle w:val="CharStyle10"/>
        </w:rPr>
        <w:t xml:space="preserve">Закона о контрактной системе), предложенных участником закупки, подавшим такую заявку, с учетом положений нормативных правовых актов, принятых в соответствии со 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 </w:t>
      </w:r>
      <w:r>
        <w:rPr>
          <w:rStyle w:val="CharStyle10"/>
          <w:lang w:val="en-US" w:eastAsia="en-US"/>
        </w:rPr>
        <w:t xml:space="preserve">. </w:t>
      </w:r>
      <w:r>
        <w:rPr>
          <w:rStyle w:val="CharStyle10"/>
        </w:rPr>
        <w:t>Заявке на участие в закупке победителя определения поставщика (подрядчика,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исполнителя) присваивается первый номер. В случае, если в нескольких заявках на участие в закупке содержатся одинаковые предложения, предусмотренные п.3 или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Закона о контрактной системе,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п. </w:t>
      </w:r>
      <w:r>
        <w:rPr>
          <w:rStyle w:val="CharStyle10"/>
          <w:lang w:val="en-US" w:eastAsia="en-US"/>
        </w:rPr>
        <w:t xml:space="preserve">1, 2, 4 - 7 </w:t>
      </w:r>
      <w:r>
        <w:rPr>
          <w:rStyle w:val="CharStyle10"/>
        </w:rPr>
        <w:t xml:space="preserve">ч.17 ст.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1.1, 2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(при наличии таких требований) 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предусмотренных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4, </w:t>
      </w:r>
      <w:r>
        <w:rPr>
          <w:rStyle w:val="CharStyle10"/>
        </w:rPr>
        <w:t xml:space="preserve">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92" w:left="1106" w:header="0" w:footer="264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выявления отнесения участника закупки к организациям, предусмотренным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июня </w:t>
      </w:r>
      <w:r>
        <w:rPr>
          <w:rStyle w:val="CharStyle10"/>
          <w:lang w:val="en-US" w:eastAsia="en-US"/>
        </w:rPr>
        <w:t xml:space="preserve">2018 </w:t>
      </w:r>
      <w:r>
        <w:rPr>
          <w:rStyle w:val="CharStyle10"/>
        </w:rPr>
        <w:t xml:space="preserve"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</w:t>
      </w:r>
      <w:r>
        <w:rPr>
          <w:rStyle w:val="CharStyle10"/>
          <w:sz w:val="24"/>
          <w:szCs w:val="24"/>
          <w:lang w:val="en-US" w:eastAsia="en-US"/>
        </w:rPr>
        <w:t>2025-40607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предусмотренных ч.6 ст. </w:t>
      </w:r>
      <w:r>
        <w:rPr>
          <w:rStyle w:val="CharStyle10"/>
          <w:lang w:val="en-US" w:eastAsia="en-US"/>
        </w:rPr>
        <w:t xml:space="preserve">45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Комиссия Управления приходит к выводу о необоснованности довода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0"/>
        </w:rPr>
        <w:t>Признать жалобу ООО «Солинг» на действия комиссии ФГБУ «ВНИИИМТ» Росздравнадзора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2" w:val="left"/>
        </w:tabs>
        <w:bidi w:val="0"/>
        <w:spacing w:before="0" w:after="260" w:line="240" w:lineRule="auto"/>
        <w:ind w:left="0" w:right="0" w:firstLine="520"/>
        <w:jc w:val="both"/>
      </w:pPr>
      <w:r>
        <w:rPr>
          <w:rStyle w:val="CharStyle10"/>
        </w:rPr>
        <w:t>Снять ограничения, наложенные на определение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0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4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8.200000000000003pt;margin-top:10.pt;width:145.20000000000002pt;height:19.900000000000002pt;z-index:-125829369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6" behindDoc="0" locked="0" layoutInCell="1" allowOverlap="1">
            <wp:simplePos x="0" y="0"/>
            <wp:positionH relativeFrom="page">
              <wp:posOffset>2976245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3396615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7.44999999999999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7" behindDoc="0" locked="0" layoutInCell="1" allowOverlap="1">
                <wp:simplePos x="0" y="0"/>
                <wp:positionH relativeFrom="page">
                  <wp:posOffset>5902325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64.75pt;margin-top:10.pt;width:102.95pt;height:19.900000000000002pt;z-index:-125829366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2"/>
        </w:rPr>
        <w:t>Действителен с 19.05.2025 по 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2976245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3396615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7.44999999999999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М.В. Сорбучева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00F3B71218F970424B4D41C7997434F304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2"/>
        </w:rPr>
        <w:t>Действителен с 19.09.2024 по 13.12.2025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480" w:right="0" w:firstLine="0"/>
        <w:jc w:val="lef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2976245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3396615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67.44999999999999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Леонова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Леонова Алена Альбертовна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009389F972AA570F22D19E7C51D28B0906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right="0" w:firstLine="0"/>
        <w:jc w:val="left"/>
      </w:pPr>
      <w:r>
        <w:rPr>
          <w:rStyle w:val="CharStyle22"/>
        </w:rPr>
        <w:t>Действителен с 20.09.2024 по 14.12.2025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10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4.70000000000005pt;width:57.100000000000001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804.30000000000007pt;width:58.100000000000001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5pt;margin-top:794.70000000000005pt;width:57.100000000000001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25pt;margin-top:794.70000000000005pt;width:57.100000000000001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7.25pt;width:6.pt;height:5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509270</wp:posOffset>
              </wp:positionV>
              <wp:extent cx="57785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25pt;margin-top:40.100000000000001pt;width:4.5499999999999998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37.25pt;width:6.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509270</wp:posOffset>
              </wp:positionV>
              <wp:extent cx="57785" cy="6985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25pt;margin-top:40.100000000000001pt;width:4.5499999999999998pt;height:5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9.pt;margin-top:37.25pt;width:6.pt;height:5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Body text (6)_"/>
    <w:basedOn w:val="DefaultParagraphFont"/>
    <w:link w:val="Style12"/>
    <w:rPr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Body text (6)"/>
    <w:basedOn w:val="Normal"/>
    <w:link w:val="CharStyle13"/>
    <w:pPr>
      <w:widowControl w:val="0"/>
      <w:shd w:val="clear" w:color="auto" w:fill="auto"/>
      <w:spacing w:after="200"/>
      <w:jc w:val="right"/>
    </w:pPr>
    <w:rPr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43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