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05.09.2025</w:t>
        <w:tab/>
      </w:r>
      <w:r>
        <w:fldChar w:fldCharType="end"/>
      </w:r>
      <w:r>
        <w:rPr>
          <w:rStyle w:val="CharStyle10"/>
        </w:rPr>
        <w:t>№ 35824/25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ФГБУ «Росдортехнология»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"mailto:secretar@rosdt.ru" </w:instrText>
      </w:r>
      <w:r>
        <w:fldChar w:fldCharType="separate"/>
      </w:r>
      <w:r>
        <w:rPr>
          <w:rStyle w:val="CharStyle12"/>
          <w:lang w:val="en-US" w:eastAsia="en-US"/>
        </w:rPr>
        <w:t>secretar@rosdt.ru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«Альфа-Син»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188" w:bottom="708" w:left="1265" w:header="0" w:footer="3" w:gutter="0"/>
          <w:pgNumType w:start="1"/>
          <w:cols w:num="2" w:space="720" w:equalWidth="0">
            <w:col w:w="3835" w:space="1306"/>
            <w:col w:w="3307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"mailto:V.kuleshov@mv-s.su" </w:instrText>
      </w:r>
      <w:r>
        <w:fldChar w:fldCharType="separate"/>
      </w:r>
      <w:r>
        <w:rPr>
          <w:rStyle w:val="CharStyle12"/>
          <w:lang w:val="en-US" w:eastAsia="en-US"/>
        </w:rPr>
        <w:t>V.kuleshov@mv-s.su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7" w:right="0" w:bottom="5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5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077/06/106-11027/2025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03.09.2025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А.А. 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А.И. Рахматуллаева,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видео- конференц 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ФГБУ «Росдортехнология»: А.А. Моисеевой (по доверенности </w:t>
      </w:r>
      <w:r>
        <w:rPr>
          <w:rStyle w:val="CharStyle12"/>
          <w:lang w:val="en-US" w:eastAsia="en-US"/>
        </w:rPr>
        <w:t xml:space="preserve">№ 068-25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17.07.2025), </w:t>
      </w:r>
      <w:r>
        <w:rPr>
          <w:rStyle w:val="CharStyle12"/>
        </w:rPr>
        <w:t xml:space="preserve">Д.А. Бирюкова (по доверенности </w:t>
      </w:r>
      <w:r>
        <w:rPr>
          <w:rStyle w:val="CharStyle12"/>
          <w:lang w:val="en-US" w:eastAsia="en-US"/>
        </w:rPr>
        <w:t xml:space="preserve">№ 031-25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14.01.2025) </w:t>
      </w:r>
      <w:r>
        <w:rPr>
          <w:rStyle w:val="CharStyle12"/>
        </w:rPr>
        <w:t xml:space="preserve">М.Л. Гудковой (по доверенности </w:t>
      </w:r>
      <w:r>
        <w:rPr>
          <w:rStyle w:val="CharStyle12"/>
          <w:lang w:val="en-US" w:eastAsia="en-US"/>
        </w:rPr>
        <w:t xml:space="preserve">№ 081-25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27.08.2025),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в отсутствие представителей ООО «Альфа-Син», о времени и порядке заседания Комиссии Управления уведомленных надлежащим образом посредством размещения информации в Единой информационной системе,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ООО «Альфа-Син»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«Росдортехнология»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расходных материалов для оргтехники (черные картриджи) (Закупка </w:t>
      </w:r>
      <w:r>
        <w:rPr>
          <w:rStyle w:val="CharStyle12"/>
          <w:lang w:val="en-US" w:eastAsia="en-US"/>
        </w:rPr>
        <w:t xml:space="preserve">№ 0373100012725000010)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электронный аукцион, аукцион), в соответствии с Федеральным законом от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both"/>
      </w:pP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Заявитель обжалует действия комиссии Заказчика, выразившиеся в неправомерном неприменении ограничений закупок иностранных товаров предусмотренных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 1875).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 исполнителя) от </w:t>
      </w:r>
      <w:r>
        <w:rPr>
          <w:rStyle w:val="CharStyle12"/>
          <w:lang w:val="en-US" w:eastAsia="en-US"/>
        </w:rPr>
        <w:t xml:space="preserve">27.08.2025 </w:t>
      </w:r>
      <w:r>
        <w:rPr>
          <w:rStyle w:val="CharStyle12"/>
        </w:rPr>
        <w:t xml:space="preserve">№ИЭА1 подано на участие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заявок,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заявки признаны соответствующими, победителем закупки признан участник с идентификационным номером заявки </w:t>
      </w:r>
      <w:r>
        <w:rPr>
          <w:rStyle w:val="CharStyle12"/>
          <w:lang w:val="en-US" w:eastAsia="en-US"/>
        </w:rPr>
        <w:t>№ 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 фирменных наименований, патентов, полезных моделей, промышленных образцов наименование страны происхождения товара, требования к товарам, информации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66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7" w:right="542" w:bottom="58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Комиссией Управления установлено, что согласно извещению объектом закупки является поставка расходных материалов для оргтехники (черные картриджи).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 принятыми Правительством Российской Федерации в соответствии с п.1 ч.2 ст.14 Закона о контрактной системе, положения ст.14 Закона о контрактной системе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В соответствии с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Абз.3 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установлено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rPr>
          <w:sz w:val="24"/>
          <w:szCs w:val="24"/>
        </w:rPr>
      </w:pPr>
      <w:r>
        <w:rPr>
          <w:rStyle w:val="CharStyle12"/>
        </w:rPr>
        <w:t xml:space="preserve">Согласно п.15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 запрете или об ограничении закупок товаров (в том числе поставляемых при выполнении закупаемых работ, оказании закупаемых </w:t>
      </w:r>
      <w:r>
        <w:rPr>
          <w:rStyle w:val="CharStyle12"/>
          <w:sz w:val="24"/>
          <w:szCs w:val="24"/>
          <w:lang w:val="en-US" w:eastAsia="en-US"/>
        </w:rPr>
        <w:t>2025-40429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Комиссией Управления установлено, что в извещении об осуществлении закупки установлено ограничение на допуск промышленных товаров, происходящих из иностранных государств (за исключением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союза), для целей осуществления закупок для государственных и муниципальных нужд в соответствии с Постановлением </w:t>
      </w:r>
      <w:r>
        <w:rPr>
          <w:rStyle w:val="CharStyle12"/>
          <w:lang w:val="en-US" w:eastAsia="en-US"/>
        </w:rPr>
        <w:t>№ 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В соответствии с п.2 ч.4 ст.14 Закона о контрактной системе при осуществлении закупки товара если Правительством Российской Федерации установлено предусмотренное пп.«б» п.1 ч.2 ст.14 Закона о контрактной системе ограничение закупок товара: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Законом о контрактной системе,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Законом о контрактной системе предусмотрена документация о закупке) заявка, содержащая предложение о поставке такого товара российского происхождения;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подпунктом 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7" w:right="542" w:bottom="584" w:left="1101" w:header="0" w:footer="156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 определенные в соответствии с п.2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ст.14 Закона о контрактной системе (в случае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</w:t>
      </w:r>
      <w:r>
        <w:rPr>
          <w:rStyle w:val="CharStyle12"/>
          <w:sz w:val="24"/>
          <w:szCs w:val="24"/>
          <w:lang w:val="en-US" w:eastAsia="en-US"/>
        </w:rPr>
        <w:t>2025-40429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В соответствии с пп. «а», «б» п.3 Постановления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установить, что информацией и документами, подтверждающими страну происхождения товара для целей Постановления </w:t>
      </w:r>
      <w:r>
        <w:rPr>
          <w:rStyle w:val="CharStyle12"/>
          <w:lang w:val="en-US" w:eastAsia="en-US"/>
        </w:rPr>
        <w:t xml:space="preserve">№ 1875,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настоящему постановлению,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настоящему постановлению, приложении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 xml:space="preserve">к настоящему постановлению, 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lang w:val="en-US" w:eastAsia="en-US"/>
        </w:rPr>
        <w:t xml:space="preserve">17.1 </w:t>
      </w:r>
      <w:r>
        <w:rPr>
          <w:rStyle w:val="CharStyle12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 xml:space="preserve"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>«О подтверждении производства российской промышленной продукции» для целей осуществления закупок;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информацию об уровне радиоэлектронной продукции (для товара являющегося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85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настоящему постановлению, 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настоящему постановлению, приложении </w:t>
      </w:r>
      <w:r>
        <w:rPr>
          <w:rStyle w:val="CharStyle12"/>
          <w:lang w:val="en-US" w:eastAsia="en-US"/>
        </w:rPr>
        <w:t xml:space="preserve">№ 3 </w:t>
      </w:r>
      <w:r>
        <w:rPr>
          <w:rStyle w:val="CharStyle12"/>
        </w:rPr>
        <w:t xml:space="preserve">к настоящему постановлению, 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евразийский реестр промышленных товаров) содержащей в том числе: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информацию об уровне радиоэлектронной продукции (для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Аналогичная информация отражена в п. </w:t>
      </w:r>
      <w:r>
        <w:rPr>
          <w:rStyle w:val="CharStyle12"/>
          <w:lang w:val="en-US" w:eastAsia="en-US"/>
        </w:rPr>
        <w:t xml:space="preserve">3.1 </w:t>
      </w:r>
      <w:r>
        <w:rPr>
          <w:rStyle w:val="CharStyle12"/>
        </w:rPr>
        <w:t>электронного документа «Приложение 3.Требования к содержанию, составу заявки на участие в закупке».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Согласно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106 </w:t>
      </w:r>
      <w:r>
        <w:rPr>
          <w:rStyle w:val="CharStyle12"/>
        </w:rPr>
        <w:t>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На заседании Комиссии представитель Заказчика пояснил, что о в составе заявок участников с идентификационными номерами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7, </w:t>
      </w:r>
      <w:r>
        <w:rPr>
          <w:rStyle w:val="CharStyle12"/>
        </w:rPr>
        <w:t>были представлены сведения о номерах из реестра российской промышленной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В свою очередь, Комиссией Управления определено, что в составе заявки участника с идентификационным номером </w:t>
      </w:r>
      <w:r>
        <w:rPr>
          <w:rStyle w:val="CharStyle12"/>
          <w:lang w:val="en-US" w:eastAsia="en-US"/>
        </w:rPr>
        <w:t xml:space="preserve">7 </w:t>
      </w:r>
      <w:r>
        <w:rPr>
          <w:rStyle w:val="CharStyle12"/>
        </w:rPr>
        <w:t xml:space="preserve">(победитель) предложен необходимый к поставке товар, продекларирована страна происхождения Российская Федерация, а также представлены сведения о номерах из реестра промышленной продукции </w:t>
      </w:r>
      <w:r>
        <w:rPr>
          <w:rStyle w:val="CharStyle12"/>
          <w:lang w:val="en-US" w:eastAsia="en-US"/>
        </w:rPr>
        <w:t xml:space="preserve">10519138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10519139. </w:t>
      </w:r>
      <w:r>
        <w:rPr>
          <w:rStyle w:val="CharStyle12"/>
        </w:rPr>
        <w:t xml:space="preserve">Аналогично в заявке с идентификационным номером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(Заявитель).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Таким образом, Комиссия Управления приходит к выводу, что заявки участников, вопреки доводам жалобы об обратном, не противоречат установленным условиям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предусмотренных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п.5 ч.12 ст.48 Закона о контрактной системе), пп. «а»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4, </w:t>
      </w:r>
      <w:r>
        <w:rPr>
          <w:rStyle w:val="CharStyle12"/>
        </w:rPr>
        <w:t xml:space="preserve">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(за исключением случая, предусмотренного п.5 ч.12 ст.48 Закона о контрактной системе),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системе, если такие информация и документы определены 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 xml:space="preserve">Закона о контрактной системе (в случае установления в соответствии с пп. «а» п.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14 </w:t>
      </w:r>
      <w:r>
        <w:rPr>
          <w:rStyle w:val="CharStyle12"/>
        </w:rPr>
        <w:t>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>года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67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 xml:space="preserve">предусмотренных ч.6 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rStyle w:val="CharStyle12"/>
        </w:rPr>
        <w:t>На основании изложенного Комиссия Управления приходит к выводу о том, что у комиссии Заказчика отсутствовали правовые основания для признания заявок несоответствующими требованиям извещения и Закона о контрактной системе ввиду чего Комиссия Управления приходит к выводу о том, что довод жалобы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7" w:right="542" w:bottom="584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3" w:val="left"/>
        </w:tabs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>.Признать жалобу ООО «Альфа-Син» на действия комиссии ФГБУ «Росдортехнология»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44" w:val="left"/>
        </w:tabs>
        <w:bidi w:val="0"/>
        <w:spacing w:before="0" w:after="240" w:line="240" w:lineRule="auto"/>
        <w:ind w:left="0" w:right="0" w:firstLine="640"/>
        <w:jc w:val="both"/>
      </w:pPr>
      <w:r>
        <w:rPr>
          <w:rStyle w:val="CharStyle12"/>
        </w:rPr>
        <w:t>.Снять ограничения, наложенные на определение поставщика (подрядчика исполнителя)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11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33400" distB="34163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533400</wp:posOffset>
                </wp:positionV>
                <wp:extent cx="184404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42.pt;width:145.20000000000002pt;height:19.900000000000002pt;z-index:-125829374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97535" distB="0" distL="0" distR="1786255" simplePos="0" relativeHeight="125829381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597535</wp:posOffset>
            </wp:positionV>
            <wp:extent cx="359410" cy="530225"/>
            <wp:wrapTopAndBottom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1012190</wp:posOffset>
                </wp:positionV>
                <wp:extent cx="1283335" cy="10033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80.94999999999999pt;margin-top:79.70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695325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0000000000001pt;margin-top:54.7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341630" distL="0" distR="0" simplePos="0" relativeHeight="125829382" behindDoc="0" locked="0" layoutInCell="1" allowOverlap="1">
                <wp:simplePos x="0" y="0"/>
                <wp:positionH relativeFrom="page">
                  <wp:posOffset>5908675</wp:posOffset>
                </wp:positionH>
                <wp:positionV relativeFrom="paragraph">
                  <wp:posOffset>533400</wp:posOffset>
                </wp:positionV>
                <wp:extent cx="1307465" cy="25273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5.25pt;margin-top:42.pt;width:102.95pt;height:19.900000000000002pt;z-index:-125829371;mso-wrap-distance-left:0;mso-wrap-distance-top:42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Кутейников Антон Андреевич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67950889C45403E5BD9EBC88A8D80C0D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 xml:space="preserve">Действителен с 19.05.2025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80.90000000000003pt;margin-top:36.700000000000003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75pt;margin-top:11.700000000000001pt;width:135.59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Леонова Алена Альбертовна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009389F972AA570F22D19E7C51D28B0906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19"/>
        </w:rPr>
        <w:t>Действителен с 20.09.2024 по 14.12.2025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66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32" name="Shap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box 3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280.90000000000003pt;margin-top:36.899999999999999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6" name="Shape 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2" type="#_x0000_t202" style="position:absolute;margin-left:277.75pt;margin-top:11.95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А.И. Рахматуллаев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Кому выдан: </w:t>
      </w:r>
      <w:r>
        <w:rPr>
          <w:rStyle w:val="CharStyle19"/>
          <w:color w:val="000000"/>
        </w:rPr>
        <w:t>Рахматуллаев Алексей Ильич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19"/>
        </w:rPr>
        <w:t xml:space="preserve">Сертификат </w:t>
      </w:r>
      <w:r>
        <w:rPr>
          <w:rStyle w:val="CharStyle19"/>
          <w:color w:val="292929"/>
        </w:rPr>
        <w:t xml:space="preserve">№ </w:t>
      </w:r>
      <w:r>
        <w:rPr>
          <w:rStyle w:val="CharStyle19"/>
          <w:lang w:val="en-US" w:eastAsia="en-US"/>
        </w:rPr>
        <w:t>7AEE97A08C8432425F146F6255A521C3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840" w:line="240" w:lineRule="auto"/>
        <w:ind w:right="0" w:firstLine="0"/>
        <w:jc w:val="left"/>
      </w:pPr>
      <w:r>
        <w:rPr>
          <w:rStyle w:val="CharStyle19"/>
        </w:rPr>
        <w:t xml:space="preserve">Действителен с 12.11.2024 </w:t>
      </w:r>
      <w:r>
        <w:rPr>
          <w:rStyle w:val="CharStyle19"/>
          <w:color w:val="5E5E5E"/>
        </w:rPr>
        <w:t xml:space="preserve">по </w:t>
      </w:r>
      <w:r>
        <w:rPr>
          <w:rStyle w:val="CharStyle19"/>
        </w:rPr>
        <w:t>05.02.2026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4"/>
        </w:rPr>
        <w:t>Исп. Леонова А.А. тел. 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10114915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2025-40429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6.45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2025-40429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34695" cy="1250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2025-40429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7.850000000000001pt;height:9.84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2025-40429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10114915</wp:posOffset>
              </wp:positionV>
              <wp:extent cx="72263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2025-40429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6.45000000000005pt;width:56.89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2025-40429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494030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38.899999999999999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3925570</wp:posOffset>
              </wp:positionH>
              <wp:positionV relativeFrom="page">
                <wp:posOffset>243205</wp:posOffset>
              </wp:positionV>
              <wp:extent cx="52070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10000000000002pt;margin-top:19.150000000000002pt;width:4.0999999999999996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494030</wp:posOffset>
              </wp:positionV>
              <wp:extent cx="76200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pt;margin-top:38.899999999999999pt;width:6.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Body text (2)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4">
    <w:name w:val="Body text (4)_"/>
    <w:basedOn w:val="DefaultParagraphFont"/>
    <w:link w:val="Style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Body text (2)"/>
    <w:basedOn w:val="Normal"/>
    <w:link w:val="CharStyle19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3">
    <w:name w:val="Body text (4)"/>
    <w:basedOn w:val="Normal"/>
    <w:link w:val="CharStyle24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/Relationships>
</file>