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09.09.2025</w:t>
        <w:tab/>
      </w:r>
      <w:r>
        <w:fldChar w:fldCharType="end"/>
      </w:r>
      <w:r>
        <w:rPr>
          <w:rStyle w:val="CharStyle10"/>
        </w:rPr>
        <w:t>№ 36051/25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Московская городская Дума </w:t>
      </w:r>
      <w:r>
        <w:fldChar w:fldCharType="begin"/>
      </w:r>
      <w:r>
        <w:rPr/>
        <w:instrText> HYPERLINK "mailto:astashkina@duma.mos.ru" </w:instrText>
      </w:r>
      <w:r>
        <w:fldChar w:fldCharType="separate"/>
      </w:r>
      <w:r>
        <w:rPr>
          <w:rStyle w:val="CharStyle12"/>
          <w:lang w:val="en-US" w:eastAsia="en-US"/>
        </w:rPr>
        <w:t>astashkina@duma.mos.ru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ИП Нестеренко А.Е.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2092" w:bottom="708" w:left="1265" w:header="0" w:footer="3" w:gutter="0"/>
          <w:pgNumType w:start="1"/>
          <w:cols w:num="2" w:space="720" w:equalWidth="0">
            <w:col w:w="3835" w:space="1306"/>
            <w:col w:w="3403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"mailto:ipnesterrenko@yandex.ru" </w:instrText>
      </w:r>
      <w:r>
        <w:fldChar w:fldCharType="separate"/>
      </w:r>
      <w:r>
        <w:rPr>
          <w:rStyle w:val="CharStyle12"/>
          <w:lang w:val="en-US" w:eastAsia="en-US"/>
        </w:rPr>
        <w:t>ipnesterrenko@yandex.ru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4" w:after="7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35" w:right="0" w:bottom="105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077/06/106-11051/2025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04.09.2025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Специалиста-эксперта отдела обжалования государственных закупок А.И. Рахматуллаева,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рассмотрение жалобы проводилось дистанционно (посредством видеоконференцсвязи),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Московской городской Думы: И.М. Самотаева (по дов. №б/н от </w:t>
      </w:r>
      <w:r>
        <w:rPr>
          <w:rStyle w:val="CharStyle12"/>
          <w:lang w:val="en-US" w:eastAsia="en-US"/>
        </w:rPr>
        <w:t>06.12.2024),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ИП Нестеренко А.Е.: Г.В. Алдатова (по дов.№ б/н от </w:t>
      </w:r>
      <w:r>
        <w:rPr>
          <w:rStyle w:val="CharStyle12"/>
          <w:lang w:val="en-US" w:eastAsia="en-US"/>
        </w:rPr>
        <w:t xml:space="preserve">11.03.2025), </w:t>
      </w:r>
      <w:r>
        <w:rPr>
          <w:rStyle w:val="CharStyle12"/>
        </w:rPr>
        <w:t xml:space="preserve">Д.Г. Греку (по дов.№ б/н от </w:t>
      </w:r>
      <w:r>
        <w:rPr>
          <w:rStyle w:val="CharStyle12"/>
          <w:lang w:val="en-US" w:eastAsia="en-US"/>
        </w:rPr>
        <w:t>22.01.2025),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рассмотрев жалобу ИП Нестеренко А.Е.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Московской городской Думы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и установку арочного металлодетектора (Закупка </w:t>
      </w:r>
      <w:r>
        <w:rPr>
          <w:rStyle w:val="CharStyle12"/>
          <w:lang w:val="en-US" w:eastAsia="en-US"/>
        </w:rPr>
        <w:t xml:space="preserve">№0173200001725000065)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аукцион)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after="69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152400</wp:posOffset>
            </wp:positionV>
            <wp:extent cx="1511935" cy="29273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Заявитель обжалует действия Заказчика, выразившиеся закупке оборудования без возможности поставки эквивалентной продукции.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35" w:right="537" w:bottom="1051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Комиссией Управления установлено, что объектом закупки является поставка 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2"/>
        </w:rPr>
        <w:t>установка арочного металлодетектора.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Комиссией Управления установлено, что согласно описанию объекта закупки Заказчиком установлены требования к поставляемому товару п. «Металлодетектор. Идентификатор: </w:t>
      </w:r>
      <w:r>
        <w:rPr>
          <w:rStyle w:val="CharStyle12"/>
          <w:lang w:val="en-US" w:eastAsia="en-US"/>
        </w:rPr>
        <w:t>189660803».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доводам Заявителя в нарушение требований ст.33 Закона о контрактной системе совокупность установленных Заказчиком параметров к закупаемому товару соответствует металлодетектору марки «Блокпост» единственного производителя ООО «ГК «ИРА-ПРОМ», при этом ограничивающими требованиями являются требования о совместимости с установленным досмотровым оборудованием: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«1. </w:t>
      </w:r>
      <w:r>
        <w:rPr>
          <w:rStyle w:val="CharStyle12"/>
        </w:rPr>
        <w:t xml:space="preserve">Металлодетектор: Арочный металлодетектор БЛОКПОСТ </w:t>
      </w:r>
      <w:r>
        <w:rPr>
          <w:rStyle w:val="CharStyle12"/>
          <w:lang w:val="en-US" w:eastAsia="en-US"/>
        </w:rPr>
        <w:t xml:space="preserve">PC X 600 MK. </w:t>
      </w:r>
      <w:r>
        <w:rPr>
          <w:rStyle w:val="CharStyle12"/>
        </w:rPr>
        <w:t xml:space="preserve">Работа в программной среде </w:t>
      </w:r>
      <w:r>
        <w:rPr>
          <w:rStyle w:val="CharStyle12"/>
          <w:lang w:val="en-US" w:eastAsia="en-US"/>
        </w:rPr>
        <w:t>«Блокпост-CONNECT»;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«2. </w:t>
      </w:r>
      <w:r>
        <w:rPr>
          <w:rStyle w:val="CharStyle12"/>
        </w:rPr>
        <w:t xml:space="preserve">Металлодетектор: Арочный металлодетектор БЛОКПОСТ </w:t>
      </w:r>
      <w:r>
        <w:rPr>
          <w:rStyle w:val="CharStyle12"/>
          <w:lang w:val="en-US" w:eastAsia="en-US"/>
        </w:rPr>
        <w:t xml:space="preserve">PC X 600 MK. </w:t>
      </w:r>
      <w:r>
        <w:rPr>
          <w:rStyle w:val="CharStyle12"/>
        </w:rPr>
        <w:t xml:space="preserve">Работа в программной среде </w:t>
      </w:r>
      <w:r>
        <w:rPr>
          <w:rStyle w:val="CharStyle12"/>
          <w:lang w:val="en-US" w:eastAsia="en-US"/>
        </w:rPr>
        <w:t>«Блокпост-CONNECT».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Кроме того Заявитель указывает, что Техническое задание содержит указание на размещение Заказчиком дизайн-макета оборудования.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«Предоставление Заказчиком дизайн-макета товара: Да».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 заседании Комиссии Управления представитель Заказчика пояснил, что, вопреки доводам жалобы, совокупности установленных требований описания объекта закупки соответствуют товары различных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подтверждении своей позиции Заказчик пояснил, что к поставке соответствующих требованиям описания объекта закупки возможно предложить товары следующих производителей: </w:t>
      </w:r>
      <w:r>
        <w:rPr>
          <w:rStyle w:val="CharStyle12"/>
          <w:lang w:val="en-US" w:eastAsia="en-US"/>
        </w:rPr>
        <w:t xml:space="preserve">«Dahua»; «Cia»; </w:t>
      </w:r>
      <w:r>
        <w:rPr>
          <w:rStyle w:val="CharStyle12"/>
        </w:rPr>
        <w:t>«Феникс».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обоснование своей позиции представитель Заказчика приложил ответ на запрос информаации </w:t>
      </w:r>
      <w:r>
        <w:rPr>
          <w:rStyle w:val="CharStyle12"/>
          <w:lang w:val="en-US" w:eastAsia="en-US"/>
        </w:rPr>
        <w:t xml:space="preserve">№128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03.09.2025 </w:t>
      </w:r>
      <w:r>
        <w:rPr>
          <w:rStyle w:val="CharStyle12"/>
        </w:rPr>
        <w:t>от производителя ООО «ГК «ИРА-ПРОМ», в котором указано следующее: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i/>
          <w:iCs/>
        </w:rPr>
        <w:t xml:space="preserve">«В соответствии с документацией о закупке </w:t>
      </w:r>
      <w:r>
        <w:rPr>
          <w:rStyle w:val="CharStyle12"/>
          <w:i/>
          <w:iCs/>
          <w:lang w:val="en-US" w:eastAsia="en-US"/>
        </w:rPr>
        <w:t xml:space="preserve">№ 0173200001725000065 </w:t>
      </w:r>
      <w:r>
        <w:rPr>
          <w:rStyle w:val="CharStyle12"/>
          <w:i/>
          <w:iCs/>
        </w:rPr>
        <w:t xml:space="preserve">на поставку и установку арочного металлодетектора информируем Вас, что ряд моделей арочных металлодетекторов таких производителей как </w:t>
      </w:r>
      <w:r>
        <w:rPr>
          <w:rStyle w:val="CharStyle12"/>
          <w:i/>
          <w:iCs/>
          <w:lang w:val="en-US" w:eastAsia="en-US"/>
        </w:rPr>
        <w:t xml:space="preserve">Dahua; Cia; </w:t>
      </w:r>
      <w:r>
        <w:rPr>
          <w:rStyle w:val="CharStyle12"/>
          <w:i/>
          <w:iCs/>
        </w:rPr>
        <w:t xml:space="preserve">Феникс, которые соответствуют характеристикам, указанным закупке, совместимы с оборудованием Блокпост </w:t>
      </w:r>
      <w:r>
        <w:rPr>
          <w:rStyle w:val="CharStyle12"/>
          <w:i/>
          <w:iCs/>
          <w:lang w:val="en-US" w:eastAsia="en-US"/>
        </w:rPr>
        <w:t xml:space="preserve">PC X 600 MК «Блокпост-CONNECT» </w:t>
      </w:r>
      <w:r>
        <w:rPr>
          <w:rStyle w:val="CharStyle12"/>
          <w:i/>
          <w:iCs/>
        </w:rPr>
        <w:t>при подключении через дополнительное оборудование и донастройку ПО.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i/>
          <w:iCs/>
        </w:rPr>
        <w:t>О данной совместимости официальные дилеры уведомлены и могут предоставить широкий спектр подходящих по характеристикам устройств и дополнительного оборудования»</w:t>
      </w:r>
      <w:r>
        <w:rPr>
          <w:rStyle w:val="CharStyle12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2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658" w:left="1092" w:header="0" w:footer="230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Не согласившись с позицией представителя Заказчика представители Заявителя предоставили скриншот письменного ответа от представителя производителя </w:t>
      </w:r>
      <w:r>
        <w:rPr>
          <w:rStyle w:val="CharStyle12"/>
          <w:sz w:val="24"/>
          <w:szCs w:val="24"/>
          <w:lang w:val="en-US" w:eastAsia="en-US"/>
        </w:rPr>
        <w:t>2025-40787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ООО «ГК «ИРА-ПРОМ», в котором было указано, что </w:t>
      </w:r>
      <w:r>
        <w:rPr>
          <w:rStyle w:val="CharStyle12"/>
          <w:lang w:val="en-US" w:eastAsia="en-US"/>
        </w:rPr>
        <w:t xml:space="preserve">«Блокпост-CONNECT» </w:t>
      </w:r>
      <w:r>
        <w:rPr>
          <w:rStyle w:val="CharStyle12"/>
        </w:rPr>
        <w:t>является частью единой экосистемы и работает исключительно с оборудованием под торговой маркой «Блокпост».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Вместе с тем, Комиссия Управления отмечает, что из представленного скриншота не представляется возможным определить текст направленного запроса, а также идентифицировать обращение непосредственно в компанию ООО «ГК «ИРА- ПРОМ», поскольку такое обращение не содержит подписей, печатей, запроса информации, а также какой-либо иной информации о производителях.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Комиссия Управления отмечает, что 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Комиссия Управления отмечает, что Закон о контрактной системе не содержит норм, ограничивающих право Заказчика включать в описание объекта закупки требования к товару, которые являются для него значимыми, и, обязывающих Заказчика устанавливать в описании объекта закупки,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Вместе с тем на заседании Комиссии Управления, а также в составе жалобы Заявителем не представлено документов и сведений, свидетельствующих о нарушении Заказчиком норм Закона о контрактной системе и опровергающих пояснения Заказчика, ввиду чего у Комиссии Управления отсутствуют правовые основания для признания Заказчика нарушившим требования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 основании вышеизложенного Комиссия Управления приходит к выводу о том, что вышеуказанный довод жалобы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Исследовав представленные материалы, Законом о контрактной системе, Комиссия Управления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57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>Признать жалобу ИП Нестеренко А.Е. на действия Московской городской Думы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300" w:line="257" w:lineRule="auto"/>
        <w:ind w:left="0" w:right="0" w:firstLine="700"/>
        <w:jc w:val="both"/>
      </w:pPr>
      <w:r>
        <w:rPr>
          <w:rStyle w:val="CharStyle12"/>
        </w:rPr>
        <w:t>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58" w:right="533" w:bottom="1796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8.149999999999999pt;margin-top:10.pt;width:145.20000000000002pt;height:19.900000000000002pt;z-index:-125829375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0" behindDoc="0" locked="0" layoutInCell="1" allowOverlap="1">
            <wp:simplePos x="0" y="0"/>
            <wp:positionH relativeFrom="page">
              <wp:posOffset>3122295</wp:posOffset>
            </wp:positionH>
            <wp:positionV relativeFrom="paragraph">
              <wp:posOffset>200025</wp:posOffset>
            </wp:positionV>
            <wp:extent cx="359410" cy="396240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3542665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8.94999999999999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1" behindDoc="0" locked="0" layoutInCell="1" allowOverlap="1">
                <wp:simplePos x="0" y="0"/>
                <wp:positionH relativeFrom="page">
                  <wp:posOffset>5908040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65.19999999999999pt;margin-top:10.pt;width:102.95pt;height:19.900000000000002pt;z-index:-125829372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67950889C45403E5BD9EBC88A8D80C0D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rStyle w:val="CharStyle22"/>
        </w:rPr>
        <w:t xml:space="preserve">Действителен с 19.05.2025 </w:t>
      </w:r>
      <w:r>
        <w:rPr>
          <w:rStyle w:val="CharStyle22"/>
          <w:color w:val="555555"/>
        </w:rPr>
        <w:t xml:space="preserve">по </w:t>
      </w:r>
      <w:r>
        <w:rPr>
          <w:rStyle w:val="CharStyle22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96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3121660</wp:posOffset>
            </wp:positionH>
            <wp:positionV relativeFrom="paragraph">
              <wp:posOffset>12700</wp:posOffset>
            </wp:positionV>
            <wp:extent cx="359410" cy="51816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3582035</wp:posOffset>
                </wp:positionH>
                <wp:positionV relativeFrom="paragraph">
                  <wp:posOffset>415290</wp:posOffset>
                </wp:positionV>
                <wp:extent cx="1283335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2.05000000000001pt;margin-top:32.70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3542030</wp:posOffset>
                </wp:positionH>
                <wp:positionV relativeFrom="paragraph">
                  <wp:posOffset>97790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8.90000000000003pt;margin-top:7.7000000000000002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М.В. Сорбучева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</w:t>
      </w:r>
      <w:r>
        <w:rPr>
          <w:rStyle w:val="CharStyle22"/>
          <w:color w:val="555555"/>
        </w:rPr>
        <w:t xml:space="preserve">выдан: </w:t>
      </w:r>
      <w:r>
        <w:rPr>
          <w:rStyle w:val="CharStyle22"/>
          <w:color w:val="000000"/>
        </w:rPr>
        <w:t>Сорбучева Мария Васильевна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00F3B71218F970424B4D41C7997434F304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rStyle w:val="CharStyle22"/>
        </w:rPr>
        <w:t xml:space="preserve">Действителен с 19.09.2024 </w:t>
      </w:r>
      <w:r>
        <w:rPr>
          <w:rStyle w:val="CharStyle22"/>
          <w:color w:val="555555"/>
        </w:rPr>
        <w:t>по 13.12.2025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64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3121660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3582035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82.05000000000001pt;margin-top:36.700000000000003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3542030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78.90000000000003pt;margin-top:11.7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А.И. Рахматуллаев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Рахматуллаев Алексей Ильич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7AEE97A08C8432425F146F6255A521C3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480" w:line="240" w:lineRule="auto"/>
        <w:ind w:right="0" w:firstLine="0"/>
        <w:jc w:val="left"/>
      </w:pPr>
      <w:r>
        <w:rPr>
          <w:rStyle w:val="CharStyle22"/>
        </w:rPr>
        <w:t xml:space="preserve">Действителен с 12.11.2024 </w:t>
      </w:r>
      <w:r>
        <w:rPr>
          <w:rStyle w:val="CharStyle22"/>
          <w:color w:val="555555"/>
        </w:rPr>
        <w:t xml:space="preserve">по </w:t>
      </w:r>
      <w:r>
        <w:rPr>
          <w:rStyle w:val="CharStyle22"/>
        </w:rPr>
        <w:t>05.02.2026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Исп.Рахматуллаев А.И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2025-40787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149999999999999pt;margin-top:794.70000000000005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2025-40787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3787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2025-40787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75pt;margin-top:804.30000000000007pt;width:58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2025-40787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2025-40787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149999999999999pt;margin-top:794.70000000000005pt;width:57.100000000000001pt;height:8.15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2025-40787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322580</wp:posOffset>
              </wp:positionV>
              <wp:extent cx="7620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94999999999999pt;margin-top:25.400000000000002pt;width:6.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7302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25pt;margin-top:37.5pt;width:5.75pt;height:8.15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322580</wp:posOffset>
              </wp:positionV>
              <wp:extent cx="76200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8.94999999999999pt;margin-top:25.400000000000002pt;width:6.pt;height:8.15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5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7">
    <w:name w:val="Body text (4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5)"/>
    <w:basedOn w:val="Normal"/>
    <w:link w:val="CharStyle20"/>
    <w:pPr>
      <w:widowControl w:val="0"/>
      <w:shd w:val="clear" w:color="auto" w:fill="auto"/>
      <w:spacing w:after="80"/>
      <w:ind w:left="45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8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6">
    <w:name w:val="Body text (4)"/>
    <w:basedOn w:val="Normal"/>
    <w:link w:val="CharStyle27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/Relationships>
</file>