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768" w:h="2448" w:wrap="none" w:hAnchor="page" w:x="1333" w:y="961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768" w:h="2448" w:wrap="none" w:hAnchor="page" w:x="1333" w:y="96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framePr w:w="3768" w:h="2448" w:wrap="none" w:hAnchor="page" w:x="1333" w:y="96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framePr w:w="3768" w:h="2448" w:wrap="none" w:hAnchor="page" w:x="1333" w:y="96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framePr w:w="235" w:h="240" w:wrap="none" w:hAnchor="page" w:x="3118" w:y="3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№</w:t>
      </w:r>
    </w:p>
    <w:p>
      <w:pPr>
        <w:pStyle w:val="Style2"/>
        <w:keepNext w:val="0"/>
        <w:keepLines w:val="0"/>
        <w:framePr w:w="490" w:h="240" w:wrap="none" w:hAnchor="page" w:x="1136" w:y="4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На№</w:t>
      </w:r>
    </w:p>
    <w:p>
      <w:pPr>
        <w:pStyle w:val="Style6"/>
        <w:keepNext w:val="0"/>
        <w:keepLines w:val="0"/>
        <w:framePr w:w="226" w:h="163" w:wrap="none" w:hAnchor="page" w:x="3133" w:y="4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color w:val="46609B"/>
        </w:rPr>
        <w:t>ОТ</w:t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960" w:right="0" w:firstLine="0"/>
        <w:jc w:val="left"/>
      </w:pPr>
      <w:r>
        <w:rPr>
          <w:rStyle w:val="CharStyle10"/>
        </w:rPr>
        <w:t>ФГБУ «НМИЦК им. ак. Е.И. Чазова» Минздрава России</w:t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left"/>
      </w:pPr>
      <w:r>
        <w:fldChar w:fldCharType="begin"/>
      </w:r>
      <w:r>
        <w:rPr/>
        <w:instrText> HYPERLINK "mailto:omts-kardio@yandex.ru" </w:instrText>
      </w:r>
      <w:r>
        <w:fldChar w:fldCharType="separate"/>
      </w:r>
      <w:r>
        <w:rPr>
          <w:rStyle w:val="CharStyle10"/>
          <w:lang w:val="en-US" w:eastAsia="en-US"/>
        </w:rPr>
        <w:t>omts-kardio@yandex.ru</w:t>
      </w:r>
      <w:r>
        <w:fldChar w:fldCharType="end"/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left"/>
      </w:pPr>
      <w:r>
        <w:rPr>
          <w:rStyle w:val="CharStyle10"/>
        </w:rPr>
        <w:t>ИП Кравченко А.В.</w:t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0"/>
          <w:lang w:val="en-US" w:eastAsia="en-US"/>
        </w:rPr>
        <w:t>info@gosfarm.ru</w:t>
      </w:r>
      <w:r>
        <w:fldChar w:fldCharType="end"/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left"/>
      </w:pPr>
      <w:r>
        <w:rPr>
          <w:rStyle w:val="CharStyle10"/>
        </w:rPr>
        <w:t>АО «Сбербанк-АСТ»</w:t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500" w:line="240" w:lineRule="auto"/>
        <w:ind w:left="0" w:right="0" w:firstLine="960"/>
        <w:jc w:val="left"/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0"/>
          <w:lang w:val="en-US" w:eastAsia="en-US"/>
        </w:rPr>
        <w:t>info@sberbank-ast.ru</w:t>
      </w:r>
      <w:r>
        <w:fldChar w:fldCharType="end"/>
      </w:r>
    </w:p>
    <w:p>
      <w:pPr>
        <w:pStyle w:val="Style9"/>
        <w:keepNext w:val="0"/>
        <w:keepLines w:val="0"/>
        <w:framePr w:w="5429" w:h="4637" w:wrap="none" w:hAnchor="page" w:x="5475" w:y="96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  <w:b/>
          <w:bCs/>
        </w:rPr>
        <w:t>РЕШЕНИЕ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393700</wp:posOffset>
                </wp:positionV>
                <wp:extent cx="1322705" cy="6737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03.09.2025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31.pt;width:104.15000000000001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03.09.2025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0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№077/06/106-11095/2025 </w:t>
      </w:r>
      <w:r>
        <w:rPr>
          <w:rStyle w:val="CharStyle10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  <w:b/>
          <w:bCs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Председательствующего: главного государственного инспектора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рассмотрение жалобы проводилось дистанционно (посредством видео-конференц-связи), при участии представителя ФГБУ «НМИЦК им. ак. Е.И. Чазова» Минздрава России Русакова К.А. (дов.№б/н от </w:t>
      </w:r>
      <w:r>
        <w:rPr>
          <w:rStyle w:val="CharStyle10"/>
          <w:lang w:val="en-US" w:eastAsia="en-US"/>
        </w:rPr>
        <w:t>13.08.2025),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отсутствие представителей ИП Кравченко А.В.,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рассмотрев жалобу ИП Кравченко А.В.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Заявитель) на действия ГБУ «НМИЦК им. ак. Е.И. Чазова» Минздрава России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Заказчик) при проведении электронного аукциона на право заключения государственного контракта на поставку оборудования </w:t>
      </w:r>
      <w:r>
        <w:rPr>
          <w:rStyle w:val="CharStyle10"/>
          <w:lang w:val="en-US" w:eastAsia="en-US"/>
        </w:rPr>
        <w:t xml:space="preserve">(415) </w:t>
      </w:r>
      <w:r>
        <w:rPr>
          <w:rStyle w:val="CharStyle10"/>
        </w:rPr>
        <w:t xml:space="preserve">(Закупка </w:t>
      </w:r>
      <w:r>
        <w:rPr>
          <w:rStyle w:val="CharStyle10"/>
          <w:lang w:val="en-US" w:eastAsia="en-US"/>
        </w:rPr>
        <w:t xml:space="preserve">№ 0373100015825000389)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аукцион), в соответствии с Федеральным законом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widowControl w:val="0"/>
        <w:spacing w:after="137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584200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составе жалобы Заявитель указывает, что в извещении об осуществлении закупки Заказчиком установлено ограничение, предусмотренное Постановлением Правительства РФ от </w:t>
      </w:r>
      <w:r>
        <w:rPr>
          <w:rStyle w:val="CharStyle10"/>
          <w:lang w:val="en-US" w:eastAsia="en-US"/>
        </w:rPr>
        <w:t xml:space="preserve">23.12.2024 №1875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№1875), </w:t>
      </w:r>
      <w:r>
        <w:rPr>
          <w:rStyle w:val="CharStyle10"/>
        </w:rPr>
        <w:t>однако указанным в описании объекта закупок требованиям к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обоснование своей позиции Заявитель указывает, что на день подачи жалоб в едином реестре российской радиоэлектронной продукции зарегистрировано несколько ультразвуковых аппарата, производства АО «НИПК «Электрон», АО «Уральский приборостроительный завод», АО «Заслон» и ООО НМФ «Нейротех»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лицо), равные условия с товаром российского происхождения, работой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 принятыми Правительством Российской Федерации в соответствии с п.1 ч.2 ст.14 Закона о контрактной системе, положения ст.14 Закона о контрактной системе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пп.«б»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 Постановление Правительства РФ от </w:t>
      </w:r>
      <w:r>
        <w:rPr>
          <w:rStyle w:val="CharStyle10"/>
          <w:lang w:val="en-US" w:eastAsia="en-US"/>
        </w:rPr>
        <w:t xml:space="preserve">10.07.2019 №878 </w:t>
      </w:r>
      <w:r>
        <w:rPr>
          <w:rStyle w:val="CharStyle10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0"/>
          <w:lang w:val="en-US" w:eastAsia="en-US"/>
        </w:rPr>
        <w:t xml:space="preserve">16 </w:t>
      </w:r>
      <w:r>
        <w:rPr>
          <w:rStyle w:val="CharStyle10"/>
        </w:rPr>
        <w:t xml:space="preserve">сентября </w:t>
      </w:r>
      <w:r>
        <w:rPr>
          <w:rStyle w:val="CharStyle10"/>
          <w:lang w:val="en-US" w:eastAsia="en-US"/>
        </w:rPr>
        <w:t xml:space="preserve">2016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N 925 </w:t>
      </w:r>
      <w:r>
        <w:rPr>
          <w:rStyle w:val="CharStyle10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№878) </w:t>
      </w:r>
      <w:r>
        <w:rPr>
          <w:rStyle w:val="CharStyle10"/>
        </w:rPr>
        <w:t xml:space="preserve">утвержден единый реестр российской радиоэлектронной продукции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Реестр).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Абз.3 п.1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>№2.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что, согласно извещению об осуществлении закупок, в отношении закупаемого изделия «Система ультразвуковой визуализации универсальная, с питанием от сети» Заказчиком установлено ограничение, предусмотренное абз.3 п.1 Постановления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положениями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и Постановления </w:t>
      </w:r>
      <w:r>
        <w:rPr>
          <w:rStyle w:val="CharStyle10"/>
          <w:lang w:val="en-US" w:eastAsia="en-US"/>
        </w:rPr>
        <w:t xml:space="preserve">№878 </w:t>
      </w:r>
      <w:r>
        <w:rPr>
          <w:rStyle w:val="CharStyle10"/>
        </w:rPr>
        <w:t>не установлены требования о том, что описание объекта закупки, сформированное в соответствии с положениями Закона о контрактной системе, должно быть составлено на основании характеристик товаров, содержащихся в Реестре.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указывающих 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Заказчиком не исполнены требования Постановления Правительства РФ от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2020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2014 </w:t>
      </w:r>
      <w:r>
        <w:rPr>
          <w:rStyle w:val="CharStyle10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№2014), </w:t>
      </w:r>
      <w:r>
        <w:rPr>
          <w:rStyle w:val="CharStyle10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0"/>
          <w:lang w:val="en-US" w:eastAsia="en-US"/>
        </w:rPr>
        <w:t>80%.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>утрачивает силу.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П.12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определено, что Постановление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вступает в силу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 xml:space="preserve">г., за исключением пп.«ф» п.4 Постановление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который вступает в силу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сентября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>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Пп.«а» п.10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установлено, что Постановление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установлено, что обжалуемое извещение опубликовано Заказчиком </w:t>
      </w:r>
      <w:r>
        <w:rPr>
          <w:rStyle w:val="CharStyle10"/>
          <w:lang w:val="en-US" w:eastAsia="en-US"/>
        </w:rPr>
        <w:t>25.07.2025.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Комиссия Управления приходит к выводу, что Постановление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 xml:space="preserve">утратило силу и положения Постановления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>не могут быть применены в отношении данной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Одновременно с этим Комиссия Управления отмечает.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ч.6 ст.14 Закона о контрактной системе по итогам года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 оказываемых российскими лицами, не подлежит размещению в единой информационной системе, заказчик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товаров российского происхождения, работ, услуг, соответственно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марта года следующего за отчетным годом.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отмечает, что исходя из буквального толкования положений ч.6,7 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Кроме того, п.9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>определено,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учитывая,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работ, услуг, соответственно выполняемых, оказываемых российскими гражданами российскими юридическими лицами, и оценку результатов осуществления в отчетном году таких закупок, в связи с чем рассмотрение данного довода жалобы в отношении нарушения Заказчиком указанного постановления не может быть осуществлено.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Заказчиком неправомерно не установлен запрет на допуск программного обеспечения происходящего из иностранных государств, для целей осуществления закупок для обеспечения государственных и муниципальных нужд, предусмотренный Постановлением Правительства РФ от </w:t>
      </w:r>
      <w:r>
        <w:rPr>
          <w:rStyle w:val="CharStyle10"/>
          <w:lang w:val="en-US" w:eastAsia="en-US"/>
        </w:rPr>
        <w:t xml:space="preserve">16.11.2015 №1236 </w:t>
      </w:r>
      <w:r>
        <w:rPr>
          <w:rStyle w:val="CharStyle10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№1236).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10"/>
          <w:lang w:val="en-US" w:eastAsia="en-US"/>
        </w:rPr>
        <w:t>№1236.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п.2 Постановлением </w:t>
      </w:r>
      <w:r>
        <w:rPr>
          <w:rStyle w:val="CharStyle10"/>
          <w:lang w:val="en-US" w:eastAsia="en-US"/>
        </w:rPr>
        <w:t xml:space="preserve">№1236, </w:t>
      </w:r>
      <w:r>
        <w:rPr>
          <w:rStyle w:val="CharStyle10"/>
        </w:rPr>
        <w:t xml:space="preserve">в редакции от </w:t>
      </w:r>
      <w:r>
        <w:rPr>
          <w:rStyle w:val="CharStyle10"/>
          <w:lang w:val="en-US" w:eastAsia="en-US"/>
        </w:rPr>
        <w:t xml:space="preserve">20.12.2017 </w:t>
      </w:r>
      <w:r>
        <w:rPr>
          <w:rStyle w:val="CharStyle10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538" w:bottom="1115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Вместе с этим, как установлено Комиссией Управления, извещение об осуществлении закупки опубликовано Заказчиком </w:t>
      </w:r>
      <w:r>
        <w:rPr>
          <w:rStyle w:val="CharStyle10"/>
          <w:lang w:val="en-US" w:eastAsia="en-US"/>
        </w:rPr>
        <w:t xml:space="preserve">25.07.2025, </w:t>
      </w:r>
      <w:r>
        <w:rPr>
          <w:rStyle w:val="CharStyle10"/>
        </w:rPr>
        <w:t>в связи с чем довод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Заявителя, на предмет нарушения требований Постановления </w:t>
      </w:r>
      <w:r>
        <w:rPr>
          <w:rStyle w:val="CharStyle10"/>
          <w:lang w:val="en-US" w:eastAsia="en-US"/>
        </w:rPr>
        <w:t xml:space="preserve">№1236, </w:t>
      </w:r>
      <w:r>
        <w:rPr>
          <w:rStyle w:val="CharStyle10"/>
        </w:rPr>
        <w:t>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установленные Заказчиком требования к характеристикам необходимого к поставке изделия «Система ультразвуковой визуализации универсальная, с питанием от сети» ограничивают круг участников закупки, поскольку совокупности установленных требований к изделию не соответствует ни одно изделие, либо соответствует изделие конкретного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591" w:left="1106" w:header="0" w:footer="16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Согласно ч.1 ст.106 Закона о контрактной системе лица, права и законные </w:t>
      </w:r>
      <w:r>
        <w:rPr>
          <w:rStyle w:val="CharStyle10"/>
          <w:sz w:val="24"/>
          <w:szCs w:val="24"/>
          <w:lang w:val="en-US" w:eastAsia="en-US"/>
        </w:rPr>
        <w:t>2025-40678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требования к закупаемым изделиям установлены Заказчиком в соответствии с потребностью учреждения, при этом совокупности требований извещения, вопреки доводам жалобы, соответствуют изделия различных производителей, в частности: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изделие «Система ультразвуковая диагностическая </w:t>
      </w:r>
      <w:r>
        <w:rPr>
          <w:rStyle w:val="CharStyle10"/>
          <w:lang w:val="en-US" w:eastAsia="en-US"/>
        </w:rPr>
        <w:t xml:space="preserve">EPIQ </w:t>
      </w:r>
      <w:r>
        <w:rPr>
          <w:rStyle w:val="CharStyle10"/>
        </w:rPr>
        <w:t xml:space="preserve">с принадлежностями», производства компании «Филипс Ультрасаунд, ЛЛС.» (регистрационное удостоверение №РЗН </w:t>
      </w:r>
      <w:r>
        <w:rPr>
          <w:rStyle w:val="CharStyle10"/>
          <w:lang w:val="en-US" w:eastAsia="en-US"/>
        </w:rPr>
        <w:t xml:space="preserve">2014/2234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03.08.2023);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изделие «Система ультразвуковая диагностическая </w:t>
      </w:r>
      <w:r>
        <w:rPr>
          <w:rStyle w:val="CharStyle10"/>
          <w:lang w:val="en-US" w:eastAsia="en-US"/>
        </w:rPr>
        <w:t xml:space="preserve">Aloka Lisendo 880, </w:t>
      </w:r>
      <w:r>
        <w:rPr>
          <w:rStyle w:val="CharStyle10"/>
        </w:rPr>
        <w:t xml:space="preserve">с принадлежностями», производства компании «ФУДЖИФИЛЬМ Корпорейшн» (регистрационное удостоверение №РЗН </w:t>
      </w:r>
      <w:r>
        <w:rPr>
          <w:rStyle w:val="CharStyle10"/>
          <w:lang w:val="en-US" w:eastAsia="en-US"/>
        </w:rPr>
        <w:t xml:space="preserve">2024/22185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24.03.2025).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обоснование своей позиции представитель Заказчика представил сравнительную таблицу содержащую сведения о значениях характеристик вышеуказанных изделий, соответствующих требованиям извещения, однако каких- либо документов и сведений, подтверждающих факт наличия таких характеристик у изделий на заседании Комиссии Управления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Так, например, не представлено сведений, однозначно подтверждающих о наличии у изделия «Система ультразвуковая диагностическая </w:t>
      </w:r>
      <w:r>
        <w:rPr>
          <w:rStyle w:val="CharStyle10"/>
          <w:lang w:val="en-US" w:eastAsia="en-US"/>
        </w:rPr>
        <w:t xml:space="preserve">Aloka Lisendo 880, </w:t>
      </w:r>
      <w:r>
        <w:rPr>
          <w:rStyle w:val="CharStyle10"/>
        </w:rPr>
        <w:t xml:space="preserve">с принадлежностями» характеристики «Минимальная частота сканирования (МГц) (Доступно только при выборе Датчик секторный фазированный </w:t>
      </w:r>
      <w:r>
        <w:rPr>
          <w:rStyle w:val="CharStyle10"/>
          <w:lang w:val="en-US" w:eastAsia="en-US"/>
        </w:rPr>
        <w:t xml:space="preserve">№1 — </w:t>
      </w:r>
      <w:r>
        <w:rPr>
          <w:rStyle w:val="CharStyle10"/>
        </w:rPr>
        <w:t xml:space="preserve">Да): </w:t>
      </w:r>
      <w:r>
        <w:rPr>
          <w:rStyle w:val="CharStyle10"/>
          <w:lang w:val="en-US" w:eastAsia="en-US"/>
        </w:rPr>
        <w:t>≤ 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Вместе с этим составе письменных возражений представителем Заказчика не представлено документов и сведений, подтверждающих соответствие совокупности требований извещений изделий нескольких производителей. 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Вместе с этим, Комиссии Управления, в отсутствие документов и сведений подтверждающих соответствие совокупности требований извещения изделий нескольких производителей, не представляется возможным приходит к выводу, что совокупности требований извещения соответствуют изделия нескольких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основе вышеизложенного, Комиссия Управления приходит к выводу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Также в составе жалобы Заявитель указывает, что структурированная форма извещения сформирована Заказчиком в нарушение положений Закона о контрактной системе, так как в составе извещения в отдельном файле отсутствует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описание объекта закупки, в четком соответствии с описанием объекта закупки отраженном в структурированной форме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этим Комиссией Управления установлено, что в составе жалобы, а также на заседании Комиссии Управления Заявителем, не указаны положения извещения, описания объекта закупки,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в извещении не указаны контактные данные лица Заказчика, являющегося конечным получателем изделия, при этом, по мнению Заявителя, в извещении подлежат указанию контактные данные лица, являющегося конечным получателем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ч.1 ст.42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«Ответственное должностное лицо: Кузин А. А.»;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«Адрес электронной почты: </w:t>
      </w:r>
      <w:r>
        <w:rPr>
          <w:rStyle w:val="CharStyle10"/>
          <w:lang w:val="en-US" w:eastAsia="en-US"/>
        </w:rPr>
        <w:t>omts-kardio@yandex.ru»;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«Номер контактного телефона: </w:t>
      </w:r>
      <w:r>
        <w:rPr>
          <w:rStyle w:val="CharStyle10"/>
          <w:lang w:val="en-US" w:eastAsia="en-US"/>
        </w:rPr>
        <w:t>7-495-4146403».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составе извещения, в том числе в проекте контракта, не содержится сведений о сроке действия и окончания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«Дата начала исполнения контракта: с даты заключения контракта»;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«Срок исполнения контракта: </w:t>
      </w:r>
      <w:r>
        <w:rPr>
          <w:rStyle w:val="CharStyle10"/>
          <w:lang w:val="en-US" w:eastAsia="en-US"/>
        </w:rPr>
        <w:t>31.03.2026».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Исходя из вышеизложенного Комиссия Управления приходит к выводу, что сведения о сроках исполнения контракта размещены Заказчиком в составе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31.07.2025 </w:t>
      </w:r>
      <w:r>
        <w:rPr>
          <w:rStyle w:val="CharStyle10"/>
        </w:rPr>
        <w:t xml:space="preserve">Комиссией Управления рассмотрена жалоба ИП Кравченко А.В. (реестровый номер жалобы </w:t>
      </w:r>
      <w:r>
        <w:rPr>
          <w:rStyle w:val="CharStyle10"/>
          <w:lang w:val="en-US" w:eastAsia="en-US"/>
        </w:rPr>
        <w:t xml:space="preserve">202500100161012754), </w:t>
      </w:r>
      <w:r>
        <w:rPr>
          <w:rStyle w:val="CharStyle10"/>
        </w:rPr>
        <w:t xml:space="preserve">при этом в действиях Заказчика Комиссией Управления выявлены нарушения положений действий п.1 ч.1 ст.33 Закона о контрактной системе, что отражено в решении о нарушении законодательства о контрактной системе по делу </w:t>
      </w:r>
      <w:r>
        <w:rPr>
          <w:rStyle w:val="CharStyle10"/>
          <w:lang w:val="en-US" w:eastAsia="en-US"/>
        </w:rPr>
        <w:t xml:space="preserve">№ 077/06/106-9851/2025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11.08.2025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Решение).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частности в Решении указано в том числе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«</w:t>
      </w:r>
      <w:r>
        <w:rPr>
          <w:rStyle w:val="CharStyle10"/>
          <w:i/>
          <w:iCs/>
        </w:rPr>
        <w:t>Вместе с тем Комиссия Управления отмечает, что в приведенной Заказчиком таблице отсутствуют ссылки на страницы инструкций, размещенных на сайте Росздравнадзора, а также ссылки на иные документы, которые могли бы подтвердить соответствие данных товаров установленным Заказчиком требованиям.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При этом Комиссия Управления отмечает, что системы ультразвуковые «РуСкан </w:t>
      </w:r>
      <w:r>
        <w:rPr>
          <w:rStyle w:val="CharStyle10"/>
          <w:i/>
          <w:iCs/>
          <w:lang w:val="en-US" w:eastAsia="en-US"/>
        </w:rPr>
        <w:t xml:space="preserve">65», «V8-RUS», «Aloka Lisendo 880» </w:t>
      </w:r>
      <w:r>
        <w:rPr>
          <w:rStyle w:val="CharStyle10"/>
          <w:i/>
          <w:iCs/>
        </w:rPr>
        <w:t xml:space="preserve">не отвечают всей совокупности установленных требований в извещении, в частности, на основе имеющихся документов и сведений, не представляется возможным прийти к выводу о соответствии данных товаров таким характеристикам, как, например: «Глубина сканирования (мм) (Доступно только при выборе Датчик линейный </w:t>
      </w:r>
      <w:r>
        <w:rPr>
          <w:rStyle w:val="CharStyle10"/>
          <w:i/>
          <w:iCs/>
          <w:lang w:val="en-US" w:eastAsia="en-US"/>
        </w:rPr>
        <w:t xml:space="preserve">№1 — </w:t>
      </w:r>
      <w:r>
        <w:rPr>
          <w:rStyle w:val="CharStyle10"/>
          <w:i/>
          <w:iCs/>
        </w:rPr>
        <w:t xml:space="preserve">Да): </w:t>
      </w:r>
      <w:r>
        <w:rPr>
          <w:rStyle w:val="CharStyle10"/>
          <w:i/>
          <w:iCs/>
          <w:lang w:val="en-US" w:eastAsia="en-US"/>
        </w:rPr>
        <w:t xml:space="preserve">≥ 120», </w:t>
      </w:r>
      <w:r>
        <w:rPr>
          <w:rStyle w:val="CharStyle10"/>
          <w:i/>
          <w:iCs/>
        </w:rPr>
        <w:t xml:space="preserve">«Минимальная частота сканирования (МГц) (Доступно только при выборе Датчик секторный фазированный </w:t>
      </w:r>
      <w:r>
        <w:rPr>
          <w:rStyle w:val="CharStyle10"/>
          <w:i/>
          <w:iCs/>
          <w:lang w:val="en-US" w:eastAsia="en-US"/>
        </w:rPr>
        <w:t xml:space="preserve">№1 — </w:t>
      </w:r>
      <w:r>
        <w:rPr>
          <w:rStyle w:val="CharStyle10"/>
          <w:i/>
          <w:iCs/>
        </w:rPr>
        <w:t xml:space="preserve">Да): </w:t>
      </w:r>
      <w:r>
        <w:rPr>
          <w:rStyle w:val="CharStyle10"/>
          <w:i/>
          <w:iCs/>
          <w:lang w:val="en-US" w:eastAsia="en-US"/>
        </w:rPr>
        <w:t>≤ 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Вместе с этим Комиссия Управления отмечает, что на заседании Комиссии, а также в составе письменных возражений Заказчиком не приведены какие-либо документы, которые могли бы подтвердить представленные в таблице значения характеристик, при этом Заказчиком также не представлено каких-либо иных письменных документов и сведений, подтверждающих факт присутствия на рынке продукции, отвечающей всей совокупности установленных Заказчиком требований.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53" w:left="1077" w:header="0" w:footer="225" w:gutter="0"/>
          <w:cols w:space="720"/>
          <w:noEndnote/>
          <w:rtlGutter w:val="0"/>
          <w:docGrid w:linePitch="360"/>
        </w:sectPr>
      </w:pPr>
      <w:r>
        <w:rPr>
          <w:rStyle w:val="CharStyle10"/>
          <w:i/>
          <w:iCs/>
        </w:rPr>
        <w:t xml:space="preserve">На основе вышеизложенного, с учетом имеющихся документов и сведений, Комиссия Управления приходит к выводу об обоснованности указанных доводов </w:t>
      </w:r>
      <w:r>
        <w:rPr>
          <w:rStyle w:val="CharStyle10"/>
          <w:sz w:val="24"/>
          <w:szCs w:val="24"/>
          <w:lang w:val="en-US" w:eastAsia="en-US"/>
        </w:rPr>
        <w:t>2025-40678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 xml:space="preserve">жалобы и о нарушении Заказчиком положений п.1 ч.1 ст.33 Закона о контрактной системе при формировании требований извещения об осуществлении закупки, что содержит признаки состава административного правонарушения ответственность за которое предусмотрена ч. </w:t>
      </w:r>
      <w:r>
        <w:rPr>
          <w:rStyle w:val="CharStyle10"/>
          <w:i/>
          <w:iCs/>
          <w:lang w:val="en-US" w:eastAsia="en-US"/>
        </w:rPr>
        <w:t xml:space="preserve">6 </w:t>
      </w:r>
      <w:r>
        <w:rPr>
          <w:rStyle w:val="CharStyle10"/>
          <w:i/>
          <w:iCs/>
        </w:rPr>
        <w:t xml:space="preserve">ст. </w:t>
      </w:r>
      <w:r>
        <w:rPr>
          <w:rStyle w:val="CharStyle10"/>
          <w:i/>
          <w:iCs/>
          <w:lang w:val="en-US" w:eastAsia="en-US"/>
        </w:rPr>
        <w:t xml:space="preserve">7.30.1 </w:t>
      </w:r>
      <w:r>
        <w:rPr>
          <w:rStyle w:val="CharStyle10"/>
          <w:i/>
          <w:iCs/>
        </w:rPr>
        <w:t>Кодекса Российской Федерации об административных правонарушениях.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п.2 ч.22 ст.99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этим Заказчику было выдано обязательное для исполнения предписание </w:t>
      </w:r>
      <w:r>
        <w:rPr>
          <w:rStyle w:val="CharStyle10"/>
          <w:lang w:val="en-US" w:eastAsia="en-US"/>
        </w:rPr>
        <w:t xml:space="preserve">№077/06/106-9851/2025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11.08.2025 </w:t>
      </w:r>
      <w:r>
        <w:rPr>
          <w:rStyle w:val="CharStyle10"/>
        </w:rPr>
        <w:t xml:space="preserve">об устранении нарушений законодательства о контрактной системе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Предписание).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Предписанию Заказчику необходимо совершить в том следующие действия: </w:t>
      </w:r>
      <w:r>
        <w:rPr>
          <w:rStyle w:val="CharStyle10"/>
          <w:lang w:val="en-US" w:eastAsia="en-US"/>
        </w:rPr>
        <w:t>«</w:t>
      </w:r>
      <w:r>
        <w:rPr>
          <w:rStyle w:val="CharStyle10"/>
          <w:i/>
          <w:iCs/>
          <w:lang w:val="en-US" w:eastAsia="en-US"/>
        </w:rPr>
        <w:t xml:space="preserve">3. </w:t>
      </w:r>
      <w:r>
        <w:rPr>
          <w:rStyle w:val="CharStyle10"/>
          <w:i/>
          <w:iCs/>
        </w:rPr>
        <w:t>Заказчику по закупке: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0"/>
          <w:i/>
          <w:iCs/>
          <w:lang w:val="en-US" w:eastAsia="en-US"/>
        </w:rPr>
        <w:t xml:space="preserve">11.08.2025 </w:t>
      </w:r>
      <w:r>
        <w:rPr>
          <w:rStyle w:val="CharStyle10"/>
          <w:i/>
          <w:iCs/>
        </w:rPr>
        <w:t xml:space="preserve">по делу </w:t>
      </w:r>
      <w:r>
        <w:rPr>
          <w:rStyle w:val="CharStyle10"/>
          <w:i/>
          <w:iCs/>
          <w:lang w:val="en-US" w:eastAsia="en-US"/>
        </w:rPr>
        <w:t xml:space="preserve">№ 077/06/106-9851/2025 </w:t>
      </w:r>
      <w:r>
        <w:rPr>
          <w:rStyle w:val="CharStyle10"/>
          <w:i/>
          <w:iCs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  <w:lang w:val="en-US" w:eastAsia="en-US"/>
        </w:rPr>
        <w:t xml:space="preserve">6. </w:t>
      </w:r>
      <w:r>
        <w:rPr>
          <w:rStyle w:val="CharStyle10"/>
          <w:i/>
          <w:iCs/>
        </w:rPr>
        <w:t xml:space="preserve">Заказчику, комиссии по осуществлению закупок в срок до </w:t>
      </w:r>
      <w:r>
        <w:rPr>
          <w:rStyle w:val="CharStyle10"/>
          <w:i/>
          <w:iCs/>
          <w:lang w:val="en-US" w:eastAsia="en-US"/>
        </w:rPr>
        <w:t xml:space="preserve">11.09.2025 </w:t>
      </w:r>
      <w:r>
        <w:rPr>
          <w:rStyle w:val="CharStyle10"/>
          <w:i/>
          <w:iCs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0"/>
          <w:i/>
          <w:iCs/>
          <w:lang w:val="en-US" w:eastAsia="en-US"/>
        </w:rPr>
        <w:t xml:space="preserve">(8(495) 607-42-92) </w:t>
      </w:r>
      <w:r>
        <w:rPr>
          <w:rStyle w:val="CharStyle10"/>
          <w:i/>
          <w:iCs/>
        </w:rPr>
        <w:t>или электронной 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i/>
          <w:iCs/>
        </w:rPr>
        <w:t xml:space="preserve"> </w:t>
      </w:r>
      <w:r>
        <w:rPr>
          <w:rStyle w:val="CharStyle10"/>
          <w:i/>
          <w:iCs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0"/>
          <w:i/>
          <w:iCs/>
          <w:lang w:val="en-US" w:eastAsia="en-US"/>
        </w:rPr>
        <w:t>.</w:t>
      </w:r>
      <w:r>
        <w:rPr>
          <w:rStyle w:val="CharStyle10"/>
          <w:lang w:val="en-US" w:eastAsia="en-US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Вместе с этим, как установлено Комиссией Управления, в материалы дела не представлен документы и сведения, подтверждает факт соответствие требованиям извещения изделий различных производителей, в том числе по указанным в составе Решения требованиям к характеристикам изделий, например по характеристике «Минимальная частота сканирования (МГц) (Доступно только при выборе Датчик секторный фазированный </w:t>
      </w:r>
      <w:r>
        <w:rPr>
          <w:rStyle w:val="CharStyle10"/>
          <w:lang w:val="en-US" w:eastAsia="en-US"/>
        </w:rPr>
        <w:t xml:space="preserve">№1 — </w:t>
      </w:r>
      <w:r>
        <w:rPr>
          <w:rStyle w:val="CharStyle10"/>
        </w:rPr>
        <w:t xml:space="preserve">Да): </w:t>
      </w:r>
      <w:r>
        <w:rPr>
          <w:rStyle w:val="CharStyle10"/>
          <w:lang w:val="en-US" w:eastAsia="en-US"/>
        </w:rPr>
        <w:t>≤ 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Предписание не исполнено Заказчиком в полном объеме.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Комиссия Управления приходит к выводу о нарушении Заказчиком положений п.2 ч.22 ст.99 Закона о контрактной системе, что свидетельствует о наличии в действиях Заказчика признаков состава административного правонарушения, ответственность за которое предусмотрена ч.7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ходатайствует о направлении жалобы в органы финансового контроля, Министерство здравоохранения Российской Федерации для рассмотрения доводов жалобы, относящихся к компетенции данных органов, в частности проведения проверки обоснования начальной (максимальной) цены контракта и исполнения положений Постановления </w:t>
      </w:r>
      <w:r>
        <w:rPr>
          <w:rStyle w:val="CharStyle10"/>
          <w:lang w:val="en-US" w:eastAsia="en-US"/>
        </w:rPr>
        <w:t>№2014.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жалоба Заявителя не перенаправлялась в органы финансового контроля, Министерство здравоохранения Российской Федерации, так как была принята к рассмотрению Московским УФАС России в рамках главы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>Закона о контрактной системе, доводы, относящихся к компетенции органов финансового контроля, Министерства промышленности и торговли Российской Федерации, оставлены Комиссией Управления без рассмотрения, ввиду чего Заявитель вправе самостоятельно подать жалобу в соответствующие органы.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Комиссия Управления отмечает, что направление жалобы по ведомственной принадлежности осуществляется в рамках предварительного рассмотрения жалобы, при этом в рамках предварительного рассмотрения данной жалобы установлено, что жалоба подлежит рассмотрению Комиссией Управления, в рамках большей части доводов, ввиду чего не может быть перенаправлена по ведомственной принадлежности для рассмотрения в иные органы государственного контроля.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Комиссией Управления принято решение об отказе в удовлетворении вышеуказанного ходатайства.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8" w:bottom="1114" w:left="1094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Признать жалобу ИП Кравченко А.В. на действия ФГБУ «НМИЦК им. ак. Е.И. Чазова» Минздрава России обоснованной в части формирования объекта закупки в нарушение положений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Признать в действиях Заказчика нарушение положений п.1 ч.1 ст.33 п.2 ч.22 ст.99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280" w:line="252" w:lineRule="auto"/>
        <w:ind w:left="0" w:right="0" w:firstLine="700"/>
        <w:jc w:val="both"/>
      </w:pPr>
      <w:r>
        <w:rPr>
          <w:rStyle w:val="CharStyle1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200000000000003pt;margin-top:10.pt;width:149.30000000000001pt;height:19.900000000000002pt;z-index:-125829373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2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3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8.90000000000003pt;margin-top:10.pt;width:89.5pt;height:19.900000000000002pt;z-index:-125829370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 xml:space="preserve">Кому выдан: </w:t>
      </w:r>
      <w:r>
        <w:rPr>
          <w:rStyle w:val="CharStyle7"/>
          <w:color w:val="000000"/>
        </w:rPr>
        <w:t>Грешнева Дарья Сергеевна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  <w:color w:val="292929"/>
        </w:rPr>
        <w:t xml:space="preserve">Сертификат № </w:t>
      </w:r>
      <w:r>
        <w:rPr>
          <w:rStyle w:val="CharStyle7"/>
          <w:color w:val="5D5D5D"/>
        </w:rPr>
        <w:t>00831</w:t>
      </w:r>
      <w:r>
        <w:rPr>
          <w:rStyle w:val="CharStyle7"/>
          <w:lang w:val="en-US" w:eastAsia="en-US"/>
        </w:rPr>
        <w:t>B7545C61281C4BAB156778A683BFB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7"/>
        </w:rPr>
        <w:t xml:space="preserve">Действителен с </w:t>
      </w:r>
      <w:r>
        <w:rPr>
          <w:rStyle w:val="CharStyle7"/>
          <w:color w:val="292929"/>
        </w:rPr>
        <w:t xml:space="preserve">17.07.2025 </w:t>
      </w:r>
      <w:r>
        <w:rPr>
          <w:rStyle w:val="CharStyle7"/>
          <w:color w:val="5D5D5D"/>
        </w:rPr>
        <w:t xml:space="preserve">по </w:t>
      </w:r>
      <w:r>
        <w:rPr>
          <w:rStyle w:val="CharStyle7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90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7"/>
        </w:rPr>
        <w:t xml:space="preserve">Кому выдан: </w:t>
      </w:r>
      <w:r>
        <w:rPr>
          <w:rStyle w:val="CharStyle7"/>
          <w:color w:val="000000"/>
        </w:rPr>
        <w:t>Матюшенко Александр Александрович</w:t>
      </w:r>
      <w:r>
        <w:rPr>
          <w:rStyle w:val="CharStyle7"/>
          <w:color w:val="000000"/>
        </w:rPr>
        <w:t xml:space="preserve"> </w:t>
      </w:r>
      <w:r>
        <w:rPr>
          <w:rStyle w:val="CharStyle7"/>
        </w:rPr>
        <w:t xml:space="preserve">Сертификат </w:t>
      </w:r>
      <w:r>
        <w:rPr>
          <w:rStyle w:val="CharStyle7"/>
          <w:color w:val="292929"/>
        </w:rPr>
        <w:t xml:space="preserve">№ </w:t>
      </w:r>
      <w:r>
        <w:rPr>
          <w:rStyle w:val="CharStyle7"/>
          <w:lang w:val="en-US" w:eastAsia="en-US"/>
        </w:rPr>
        <w:t>4F595A5C3E5ABB2DD77161F08559FC07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7"/>
        </w:rPr>
        <w:t xml:space="preserve">Действителен с 22.07.2025 </w:t>
      </w:r>
      <w:r>
        <w:rPr>
          <w:rStyle w:val="CharStyle7"/>
          <w:color w:val="5D5D5D"/>
        </w:rPr>
        <w:t xml:space="preserve">по </w:t>
      </w:r>
      <w:r>
        <w:rPr>
          <w:rStyle w:val="CharStyle7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Е.Д. Мартьянова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 xml:space="preserve">Кому выдан: </w:t>
      </w:r>
      <w:r>
        <w:rPr>
          <w:rStyle w:val="CharStyle7"/>
          <w:color w:val="000000"/>
        </w:rPr>
        <w:t>Мартьянова Елена Дмитриевна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 xml:space="preserve">Сертификат </w:t>
      </w:r>
      <w:r>
        <w:rPr>
          <w:rStyle w:val="CharStyle7"/>
          <w:color w:val="292929"/>
        </w:rPr>
        <w:t xml:space="preserve">№ </w:t>
      </w:r>
      <w:r>
        <w:rPr>
          <w:rStyle w:val="CharStyle7"/>
          <w:lang w:val="en-US" w:eastAsia="en-US"/>
        </w:rPr>
        <w:t>009EC19D0AD083DC593EE489E44F6A415</w:t>
      </w:r>
      <w:r>
        <w:rPr>
          <w:rStyle w:val="CharStyle7"/>
          <w:lang w:val="en-US" w:eastAsia="en-US"/>
        </w:rPr>
        <w:t>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right="0" w:firstLine="0"/>
        <w:jc w:val="left"/>
      </w:pPr>
      <w:r>
        <w:rPr>
          <w:rStyle w:val="CharStyle7"/>
        </w:rPr>
        <w:t xml:space="preserve">Действителен с 21.01.2025 </w:t>
      </w:r>
      <w:r>
        <w:rPr>
          <w:rStyle w:val="CharStyle7"/>
          <w:color w:val="5D5D5D"/>
        </w:rPr>
        <w:t xml:space="preserve">по </w:t>
      </w:r>
      <w:r>
        <w:rPr>
          <w:rStyle w:val="CharStyle7"/>
        </w:rPr>
        <w:t>16.04.2026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2025-40678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4.70000000000005pt;width:56.89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2025-40678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2025-40678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6.899999999999999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2025-40678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2025-40678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2025-40678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2025-40678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94.70000000000005pt;width:56.899999999999999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2025-40678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351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6.35000000000002pt;margin-top:37.25pt;width:11.300000000000001pt;height:9.5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7.5pt;width:5.75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3510" cy="12192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6.35000000000002pt;margin-top:37.25pt;width:11.300000000000001pt;height:9.59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25pt;margin-top:37.5pt;width:5.75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3510" cy="12192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6.35000000000002pt;margin-top:37.25pt;width:11.300000000000001pt;height:9.5999999999999996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 (2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