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09.09.2025</w:t>
        <w:tab/>
      </w:r>
      <w:r>
        <w:fldChar w:fldCharType="end"/>
      </w:r>
      <w:r>
        <w:rPr>
          <w:rStyle w:val="CharStyle10"/>
        </w:rPr>
        <w:t>№ 36167/25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 xml:space="preserve">ГКУ «Дирекция ЖКХиБ ВАО» </w:t>
      </w:r>
      <w:r>
        <w:fldChar w:fldCharType="begin"/>
      </w:r>
      <w:r>
        <w:rPr/>
        <w:instrText> HYPERLINK "mailto:guzvao@mail.ru" </w:instrText>
      </w:r>
      <w:r>
        <w:fldChar w:fldCharType="separate"/>
      </w:r>
      <w:r>
        <w:rPr>
          <w:rStyle w:val="CharStyle12"/>
          <w:lang w:val="en-US" w:eastAsia="en-US"/>
        </w:rPr>
        <w:t>guzvao@mail.ru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>ООО «ТД «Политон-Тех»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fldChar w:fldCharType="begin"/>
      </w:r>
      <w:r>
        <w:rPr/>
        <w:instrText> HYPERLINK "mailto:politon_td@mail.ru" </w:instrText>
      </w:r>
      <w:r>
        <w:fldChar w:fldCharType="separate"/>
      </w:r>
      <w:r>
        <w:rPr>
          <w:rStyle w:val="CharStyle12"/>
          <w:lang w:val="en-US" w:eastAsia="en-US"/>
        </w:rPr>
        <w:t>politon_td@mail.ru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741" w:bottom="708" w:left="1265" w:header="0" w:footer="3" w:gutter="0"/>
          <w:pgNumType w:start="1"/>
          <w:cols w:num="2" w:space="1290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3" w:right="0" w:bottom="7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077/06/106-10940/2025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04.09.2025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ГКУ «Дирекция ЖКХиБ ВАО»: Г.З. Мангасарова (по дов. от </w:t>
      </w:r>
      <w:r>
        <w:rPr>
          <w:rStyle w:val="CharStyle12"/>
          <w:lang w:val="en-US" w:eastAsia="en-US"/>
        </w:rPr>
        <w:t>27.01.2025 №52),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 xml:space="preserve">ООО «ТД «Политон-Тех»: А.И. Шлычковой (по дов. от </w:t>
      </w:r>
      <w:r>
        <w:rPr>
          <w:rStyle w:val="CharStyle12"/>
          <w:lang w:val="en-US" w:eastAsia="en-US"/>
        </w:rPr>
        <w:t>03.09.2025 №1),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35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рассмотрев жалобу ООО «ТД «Политон-Тех»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ГКУ «Дирекция ЖКХиБ ВАО»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расходных материалов и комплектующих для печатного оборудования в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 xml:space="preserve">году (Закупка </w:t>
      </w:r>
      <w:r>
        <w:rPr>
          <w:rStyle w:val="CharStyle12"/>
          <w:lang w:val="en-US" w:eastAsia="en-US"/>
        </w:rPr>
        <w:t>№</w:t>
        <w:tab/>
        <w:t xml:space="preserve">0373200006225001261)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запрос котировок)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016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101600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неправомерной закупке оригинальных расходных материалов (картриджей) с указанием модели комплектующего изделия/расходного материала без возможности поставки эквивалентной продукции, что делает невозможным применение защитных мер национального режима, предусмотренных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00"/>
        <w:jc w:val="both"/>
      </w:pPr>
      <w:r>
        <w:rPr>
          <w:rStyle w:val="CharStyle12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ч.2 ст.14 Закона о контрактной системе Правительство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извещении о проведении запроса котировок Заказчиком установлены следующие требования к закупаемым расходным материалам, в частности: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 п.1 «Картридж для электрографических печатающих устройств. Идентификатор: </w:t>
      </w:r>
      <w:r>
        <w:rPr>
          <w:rStyle w:val="CharStyle12"/>
          <w:lang w:val="en-US" w:eastAsia="en-US"/>
        </w:rPr>
        <w:t xml:space="preserve">190093843»: </w:t>
      </w:r>
      <w:r>
        <w:rPr>
          <w:rStyle w:val="CharStyle12"/>
        </w:rPr>
        <w:t xml:space="preserve">«Модель комплектующего изделия/расходного материала: </w:t>
      </w:r>
      <w:r>
        <w:rPr>
          <w:rStyle w:val="CharStyle12"/>
          <w:lang w:val="en-US" w:eastAsia="en-US"/>
        </w:rPr>
        <w:t xml:space="preserve">Q5942A»; </w:t>
      </w:r>
      <w:r>
        <w:rPr>
          <w:rStyle w:val="CharStyle12"/>
        </w:rPr>
        <w:t xml:space="preserve">«Товарный знак производителя оргтехники: </w:t>
      </w:r>
      <w:r>
        <w:rPr>
          <w:rStyle w:val="CharStyle12"/>
          <w:lang w:val="en-US" w:eastAsia="en-US"/>
        </w:rPr>
        <w:t xml:space="preserve">Hewlett-Packard»; </w:t>
      </w:r>
      <w:r>
        <w:rPr>
          <w:rStyle w:val="CharStyle12"/>
        </w:rPr>
        <w:t>Требование оригинальности комплектующего изделия/ расходного материала: Оригинальный(ая)»;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 п.2 «Картридж для электрографических печатающих устройств. Идентификатор: </w:t>
      </w:r>
      <w:r>
        <w:rPr>
          <w:rStyle w:val="CharStyle12"/>
          <w:lang w:val="en-US" w:eastAsia="en-US"/>
        </w:rPr>
        <w:t xml:space="preserve">190093844»: </w:t>
      </w:r>
      <w:r>
        <w:rPr>
          <w:rStyle w:val="CharStyle12"/>
        </w:rPr>
        <w:t xml:space="preserve">«Модель комплектующего изделия/расходного материала: </w:t>
      </w:r>
      <w:r>
        <w:rPr>
          <w:rStyle w:val="CharStyle12"/>
          <w:lang w:val="en-US" w:eastAsia="en-US"/>
        </w:rPr>
        <w:t xml:space="preserve">Q5949X»; </w:t>
      </w:r>
      <w:r>
        <w:rPr>
          <w:rStyle w:val="CharStyle12"/>
        </w:rPr>
        <w:t xml:space="preserve">«Товарный знак производителя оргтехники: </w:t>
      </w:r>
      <w:r>
        <w:rPr>
          <w:rStyle w:val="CharStyle12"/>
          <w:lang w:val="en-US" w:eastAsia="en-US"/>
        </w:rPr>
        <w:t xml:space="preserve">Hewlett-Packard»; </w:t>
      </w:r>
      <w:r>
        <w:rPr>
          <w:rStyle w:val="CharStyle12"/>
        </w:rPr>
        <w:t>Требование оригинальности комплектующего изделия/ расходного материала: Оригинальный(ая)»;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 п.3 «Картридж для электрографических печатающих устройств. Идентификатор: </w:t>
      </w:r>
      <w:r>
        <w:rPr>
          <w:rStyle w:val="CharStyle12"/>
          <w:lang w:val="en-US" w:eastAsia="en-US"/>
        </w:rPr>
        <w:t xml:space="preserve">190093845»: </w:t>
      </w:r>
      <w:r>
        <w:rPr>
          <w:rStyle w:val="CharStyle12"/>
        </w:rPr>
        <w:t xml:space="preserve">«Модель комплектующего изделия/расходного материала: </w:t>
      </w:r>
      <w:r>
        <w:rPr>
          <w:rStyle w:val="CharStyle12"/>
          <w:lang w:val="en-US" w:eastAsia="en-US"/>
        </w:rPr>
        <w:t xml:space="preserve">CF280X»; </w:t>
      </w:r>
      <w:r>
        <w:rPr>
          <w:rStyle w:val="CharStyle12"/>
        </w:rPr>
        <w:t xml:space="preserve">«Товарный знак производителя оргтехники: </w:t>
      </w:r>
      <w:r>
        <w:rPr>
          <w:rStyle w:val="CharStyle12"/>
          <w:lang w:val="en-US" w:eastAsia="en-US"/>
        </w:rPr>
        <w:t xml:space="preserve">Hewlett-Packard»; </w:t>
      </w:r>
      <w:r>
        <w:rPr>
          <w:rStyle w:val="CharStyle12"/>
        </w:rPr>
        <w:t>Требование оригинальности комплектующего изделия/ расходного материала: Оригинальный(ая)»</w:t>
      </w:r>
      <w:r>
        <w:rPr>
          <w:rStyle w:val="CharStyle12"/>
          <w:i/>
          <w:iCs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также установлено, что Заказчиком в данной закупке установлено ограничение закупок товаров, происходящих из иностранных государств, выполняемых работ, оказываемых услуг иностранными лицами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при этом в графе «Обоснование невозможности соблюдения запрета, ограничения» Заказчиком указано: «Осуществляется закупка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настоящего подпункта не применяются при осуществлении закупок товаров, указанных в приложении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>к настоящему постановлению и являющихся расходными материалами, комплектующими, принадлежностями к медицинским изделиям».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согласился с доводом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В свою очередь, Комиссия Управления отмечает, что ст.33 Закона о контрактной системе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Так, на заседание Комиссии Управления представителем Заказчика не представлено каких-либо документов и сведений, подтверждающих необходимость использования исключительно оригинальных расходных материалов.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свою очередь, указание на конкретные модели и товарный знак закупаемых картриджей приводит к невозможности формирования предложения с товарами иных производителей, а также применения мер национального режима, установленных в извещении.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На основании изложенного Комиссия Управления приходит к выводу о нарушении Заказчиком положений ч.1 ст.14,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33, </w:t>
      </w:r>
      <w:r>
        <w:rPr>
          <w:rStyle w:val="CharStyle12"/>
        </w:rPr>
        <w:t xml:space="preserve">п.15 ч.1 ст.42 Закона о контрактной системе, что содержит признаки состава административного правонарушения, ответственность за которое предусмотрена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7.30.1 </w:t>
      </w:r>
      <w:r>
        <w:rPr>
          <w:rStyle w:val="CharStyle12"/>
        </w:rPr>
        <w:t>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3" w:right="540" w:bottom="791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Признать жалобу ООО «ТД «Политон-Тех» на действия ГКУ «Дирекция ЖКХиБ ВАО»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Признать в действиях Заказчика нарушение ч.1 ст.14,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33, </w:t>
      </w:r>
      <w:r>
        <w:rPr>
          <w:rStyle w:val="CharStyle12"/>
        </w:rPr>
        <w:t>п.15 ч.1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300" w:line="252" w:lineRule="auto"/>
        <w:ind w:left="0" w:right="0" w:firstLine="70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5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6764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7.pt;width:145.20000000000002pt;height:19.900000000000002pt;z-index:-125829374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0" distL="0" distR="0" simplePos="0" relativeHeight="125829381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250190</wp:posOffset>
                </wp:positionV>
                <wp:extent cx="1722120" cy="25908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80000000000001pt;margin-top:19.699999999999999pt;width:135.59999999999999pt;height:20.400000000000002pt;z-index:-125829372;mso-wrap-distance-left:0;mso-wrap-distance-top:19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83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88900</wp:posOffset>
                </wp:positionV>
                <wp:extent cx="113665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8.90000000000003pt;margin-top:7.pt;width:89.5pt;height:19.900000000000002pt;z-index:-125829370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  <w:color w:val="292929"/>
        </w:rPr>
        <w:t xml:space="preserve">Сертификат № </w:t>
      </w:r>
      <w:r>
        <w:rPr>
          <w:rStyle w:val="CharStyle21"/>
          <w:color w:val="5D5D5D"/>
        </w:rPr>
        <w:t>00831</w:t>
      </w:r>
      <w:r>
        <w:rPr>
          <w:rStyle w:val="CharStyle21"/>
          <w:lang w:val="en-US" w:eastAsia="en-US"/>
        </w:rPr>
        <w:t>B7545C61281C4BAB156778A683BFB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292929"/>
        </w:rPr>
        <w:t xml:space="preserve">17.07.2025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266700</wp:posOffset>
                </wp:positionV>
                <wp:extent cx="1304290" cy="252730"/>
                <wp:wrapSquare wrapText="bothSides"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69999999999999pt;margin-top:21.pt;width:102.7pt;height:19.900000000000002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16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009EC19D0AD083DC593EE489E44F6A415</w:t>
      </w:r>
      <w:r>
        <w:rPr>
          <w:rStyle w:val="CharStyle21"/>
          <w:lang w:val="en-US" w:eastAsia="en-US"/>
        </w:rPr>
        <w:t>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1"/>
        </w:rPr>
        <w:t xml:space="preserve">Действителен с 21.01.2025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16.04.2026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75pt;margin-top:11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Леонова Алена Альбертовна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009389F972AA570F22D19E7C51D28B0906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180" w:line="240" w:lineRule="auto"/>
        <w:ind w:right="0" w:firstLine="0"/>
        <w:jc w:val="left"/>
      </w:pPr>
      <w:r>
        <w:rPr>
          <w:rStyle w:val="CharStyle21"/>
        </w:rPr>
        <w:t>Действителен с 20.09.2024 по 14.12.2025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Исп.Мартьянова Е.Д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2025-40778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2025-40778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0993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2025-40778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5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2025-40778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460375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0000000000003pt;margin-top:36.25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3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3)"/>
    <w:basedOn w:val="Normal"/>
    <w:link w:val="CharStyle16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