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24510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64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6"/>
          <w:b/>
          <w:bCs/>
        </w:rPr>
        <w:t>Федеральной антимонопольной службы</w:t>
        <w:br/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г. Нижний Новгород, 603000</w:t>
        <w:br/>
        <w:t>тел. (831) 431-73-73, (831) 431-73-83</w:t>
        <w:br/>
      </w:r>
      <w:r>
        <w:rPr>
          <w:rStyle w:val="CharStyle6"/>
          <w:u w:val="single"/>
          <w:lang w:val="en-US" w:eastAsia="en-US"/>
        </w:rPr>
        <w:t xml:space="preserve">e-mail: to52@,fas, </w:t>
      </w:r>
      <w:r>
        <w:rPr>
          <w:rStyle w:val="CharStyle6"/>
          <w:u w:val="single"/>
          <w:lang w:val="en-US" w:eastAsia="en-US"/>
        </w:rPr>
        <w:t>gov.ru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0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9.09.2025</w:t>
      </w:r>
      <w:r>
        <w:rPr>
          <w:rStyle w:val="CharStyle10"/>
          <w:u w:val="none"/>
        </w:rPr>
        <w:tab/>
      </w:r>
      <w:r>
        <w:fldChar w:fldCharType="end"/>
      </w:r>
      <w:r>
        <w:rPr>
          <w:rStyle w:val="CharStyle10"/>
          <w:u w:val="none"/>
        </w:rPr>
        <w:t xml:space="preserve">№ </w:t>
      </w:r>
      <w:r>
        <w:rPr>
          <w:rStyle w:val="CharStyle10"/>
        </w:rPr>
        <w:t>ИБ/18969/2</w:t>
      </w:r>
      <w:r>
        <w:rPr>
          <w:rStyle w:val="CharStyle10"/>
          <w:u w:val="none"/>
        </w:rPr>
        <w:t>5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w:rPr>
          <w:rStyle w:val="CharStyle6"/>
        </w:rPr>
        <w:t xml:space="preserve">На 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 xml:space="preserve">Решение о признании жалобы необоснованной </w:t>
      </w:r>
      <w:r>
        <w:rPr>
          <w:rStyle w:val="CharStyle13"/>
          <w:lang w:val="en-US" w:eastAsia="en-US"/>
        </w:rPr>
        <w:t>№052/06/105</w:t>
        <w:softHyphen/>
      </w:r>
      <w:r>
        <w:rPr>
          <w:rStyle w:val="CharStyle13"/>
        </w:rPr>
      </w:r>
      <w:r>
        <w:rPr>
          <w:rStyle w:val="CharStyle13"/>
          <w:lang w:val="en-US" w:eastAsia="en-US"/>
        </w:rPr>
        <w:t>2382/2025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5"/>
          <w:sz w:val="28"/>
          <w:szCs w:val="28"/>
        </w:rPr>
        <w:t xml:space="preserve">ООО «АйсМед» </w:t>
      </w:r>
      <w:r>
        <w:fldChar w:fldCharType="begin"/>
      </w:r>
      <w:r>
        <w:rPr/>
        <w:instrText> HYPERLINK "mailto:tnd@medmail.ru" </w:instrText>
      </w:r>
      <w:r>
        <w:fldChar w:fldCharType="separate"/>
      </w:r>
      <w:r>
        <w:rPr>
          <w:rStyle w:val="CharStyle15"/>
          <w:sz w:val="28"/>
          <w:szCs w:val="28"/>
          <w:lang w:val="en-US" w:eastAsia="en-US"/>
        </w:rPr>
        <w:t>tnd@medmail.ru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5"/>
          <w:sz w:val="28"/>
          <w:szCs w:val="28"/>
          <w:lang w:val="en-US" w:eastAsia="en-US"/>
        </w:rPr>
        <w:t xml:space="preserve">OOO </w:t>
      </w:r>
      <w:r>
        <w:rPr>
          <w:rStyle w:val="CharStyle15"/>
          <w:sz w:val="28"/>
          <w:szCs w:val="28"/>
        </w:rPr>
        <w:t>"РТС-тендер"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5"/>
          <w:sz w:val="28"/>
          <w:szCs w:val="28"/>
          <w:lang w:val="en-US" w:eastAsia="en-US"/>
        </w:rPr>
        <w:t>ko@rts-tender.ru</w:t>
      </w:r>
      <w:r>
        <w:fldChar w:fldCharType="end"/>
      </w:r>
      <w:r>
        <w:rPr>
          <w:rStyle w:val="CharStyle15"/>
          <w:sz w:val="28"/>
          <w:szCs w:val="28"/>
          <w:lang w:val="en-US" w:eastAsia="en-US"/>
        </w:rPr>
        <w:t xml:space="preserve">, </w:t>
      </w:r>
      <w:r>
        <w:fldChar w:fldCharType="begin"/>
      </w:r>
      <w:r>
        <w:rPr/>
        <w:instrText> HYPERLINK "mailto:info223@rts-tender.ru" </w:instrText>
      </w:r>
      <w:r>
        <w:fldChar w:fldCharType="separate"/>
      </w:r>
      <w:r>
        <w:rPr>
          <w:rStyle w:val="CharStyle15"/>
          <w:sz w:val="28"/>
          <w:szCs w:val="28"/>
          <w:lang w:val="en-US" w:eastAsia="en-US"/>
        </w:rPr>
        <w:t>info223@rts-tender.ru</w:t>
      </w:r>
      <w:r>
        <w:fldChar w:fldCharType="end"/>
      </w:r>
      <w:r>
        <w:rPr>
          <w:rStyle w:val="CharStyle15"/>
          <w:sz w:val="28"/>
          <w:szCs w:val="28"/>
          <w:lang w:val="en-US" w:eastAsia="en-US"/>
        </w:rPr>
        <w:t xml:space="preserve">, </w:t>
      </w:r>
      <w:r>
        <w:fldChar w:fldCharType="begin"/>
      </w:r>
      <w:r>
        <w:rPr/>
        <w:instrText> HYPERLINK "mailto:info@rts-tender.ru" </w:instrText>
      </w:r>
      <w:r>
        <w:fldChar w:fldCharType="separate"/>
      </w:r>
      <w:r>
        <w:rPr>
          <w:rStyle w:val="CharStyle15"/>
          <w:sz w:val="28"/>
          <w:szCs w:val="28"/>
          <w:lang w:val="en-US" w:eastAsia="en-US"/>
        </w:rPr>
        <w:t>info@rts-tender.ru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5"/>
          <w:sz w:val="28"/>
          <w:szCs w:val="28"/>
          <w:lang w:val="en-US" w:eastAsia="en-US"/>
        </w:rPr>
        <w:t>ko@rts-tender.ru</w:t>
      </w:r>
      <w:r>
        <w:fldChar w:fldCharType="end"/>
      </w:r>
      <w:r>
        <w:rPr>
          <w:rStyle w:val="CharStyle15"/>
          <w:sz w:val="28"/>
          <w:szCs w:val="28"/>
          <w:lang w:val="en-US" w:eastAsia="en-US"/>
        </w:rPr>
        <w:t xml:space="preserve">, </w:t>
      </w:r>
      <w:r>
        <w:fldChar w:fldCharType="begin"/>
      </w:r>
      <w:r>
        <w:rPr/>
        <w:instrText> HYPERLINK "mailto:info223@rts-tender.ru" </w:instrText>
      </w:r>
      <w:r>
        <w:fldChar w:fldCharType="separate"/>
      </w:r>
      <w:r>
        <w:rPr>
          <w:rStyle w:val="CharStyle15"/>
          <w:sz w:val="28"/>
          <w:szCs w:val="28"/>
          <w:lang w:val="en-US" w:eastAsia="en-US"/>
        </w:rPr>
        <w:t>info223@rts-tender.ru</w:t>
      </w:r>
      <w:r>
        <w:fldChar w:fldCharType="end"/>
      </w:r>
      <w:r>
        <w:rPr>
          <w:rStyle w:val="CharStyle15"/>
          <w:sz w:val="28"/>
          <w:szCs w:val="28"/>
          <w:lang w:val="en-US" w:eastAsia="en-US"/>
        </w:rPr>
        <w:t xml:space="preserve">, </w:t>
      </w:r>
      <w:r>
        <w:fldChar w:fldCharType="begin"/>
      </w:r>
      <w:r>
        <w:rPr/>
        <w:instrText> HYPERLINK "mailto:info@rts-tender.ru" </w:instrText>
      </w:r>
      <w:r>
        <w:fldChar w:fldCharType="separate"/>
      </w:r>
      <w:r>
        <w:rPr>
          <w:rStyle w:val="CharStyle15"/>
          <w:sz w:val="28"/>
          <w:szCs w:val="28"/>
          <w:lang w:val="en-US" w:eastAsia="en-US"/>
        </w:rPr>
        <w:t>info@rts-tender.ru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5"/>
          <w:sz w:val="28"/>
          <w:szCs w:val="28"/>
        </w:rPr>
        <w:t>ГОСУДАРСТВЕННОЕ ПРЕДПРИЯТИЕ НИЖЕГОРОДСКОЙ ОБЛАСТИ "НИЖЕГОРОДСКАЯ ОБЛАСТНАЯ ФАРМАЦИЯ"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89" w:right="613" w:bottom="1395" w:left="1135" w:header="0" w:footer="3" w:gutter="0"/>
          <w:pgNumType w:start="1"/>
          <w:cols w:num="2" w:space="720" w:equalWidth="0">
            <w:col w:w="4320" w:space="950"/>
            <w:col w:w="4882"/>
          </w:cols>
          <w:noEndnote/>
          <w:titlePg/>
          <w:rtlGutter w:val="0"/>
          <w:docGrid w:linePitch="360"/>
        </w:sectPr>
      </w:pPr>
      <w:r>
        <w:rPr>
          <w:rStyle w:val="CharStyle15"/>
          <w:sz w:val="28"/>
          <w:szCs w:val="28"/>
        </w:rPr>
        <w:t xml:space="preserve">603000, Нижегородская область, г Нижний Новгород, Грузинская ул, д. 21 </w:t>
      </w:r>
      <w:r>
        <w:fldChar w:fldCharType="begin"/>
      </w:r>
      <w:r>
        <w:rPr/>
        <w:instrText> HYPERLINK "mailto:tender@gpnof.ru" </w:instrText>
      </w:r>
      <w:r>
        <w:fldChar w:fldCharType="separate"/>
      </w:r>
      <w:r>
        <w:rPr>
          <w:rStyle w:val="CharStyle15"/>
          <w:sz w:val="28"/>
          <w:szCs w:val="28"/>
          <w:lang w:val="en-US" w:eastAsia="en-US"/>
        </w:rPr>
        <w:t>tender@gpnof.ru</w:t>
      </w:r>
      <w:r>
        <w:fldChar w:fldCharType="end"/>
      </w:r>
      <w:r>
        <w:rPr>
          <w:rStyle w:val="CharStyle15"/>
          <w:sz w:val="28"/>
          <w:szCs w:val="28"/>
          <w:lang w:val="en-US" w:eastAsia="en-US"/>
        </w:rPr>
        <w:t xml:space="preserve">, </w:t>
      </w:r>
      <w:r>
        <w:fldChar w:fldCharType="begin"/>
      </w:r>
      <w:r>
        <w:rPr/>
        <w:instrText> HYPERLINK "mailto:nof@gpnof.ru" </w:instrText>
      </w:r>
      <w:r>
        <w:fldChar w:fldCharType="separate"/>
      </w:r>
      <w:r>
        <w:rPr>
          <w:rStyle w:val="CharStyle15"/>
          <w:sz w:val="28"/>
          <w:szCs w:val="28"/>
          <w:lang w:val="en-US" w:eastAsia="en-US"/>
        </w:rPr>
        <w:t>nof@gpnof.ru</w:t>
      </w:r>
      <w:r>
        <w:fldChar w:fldCharType="end"/>
      </w:r>
      <w:r>
        <w:rPr>
          <w:rStyle w:val="CharStyle15"/>
          <w:sz w:val="28"/>
          <w:szCs w:val="28"/>
          <w:lang w:val="en-US" w:eastAsia="en-US"/>
        </w:rPr>
        <w:t xml:space="preserve">, </w:t>
      </w:r>
      <w:r>
        <w:fldChar w:fldCharType="begin"/>
      </w:r>
      <w:r>
        <w:rPr/>
        <w:instrText> HYPERLINK "mailto:oppnof@gpnof.ru" </w:instrText>
      </w:r>
      <w:r>
        <w:fldChar w:fldCharType="separate"/>
      </w:r>
      <w:r>
        <w:rPr>
          <w:rStyle w:val="CharStyle15"/>
          <w:sz w:val="28"/>
          <w:szCs w:val="28"/>
          <w:lang w:val="en-US" w:eastAsia="en-US"/>
        </w:rPr>
        <w:t>oppnof@gpnof.ru</w:t>
      </w:r>
      <w:r>
        <w:fldChar w:fldCharType="end"/>
      </w:r>
      <w:r>
        <w:rPr>
          <w:rStyle w:val="CharStyle15"/>
          <w:sz w:val="28"/>
          <w:szCs w:val="28"/>
          <w:lang w:val="en-US" w:eastAsia="en-US"/>
        </w:rPr>
        <w:t>,</w:t>
      </w:r>
    </w:p>
    <w:p>
      <w:pPr>
        <w:widowControl w:val="0"/>
        <w:spacing w:before="84" w:after="8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22" w:right="0" w:bottom="146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5"/>
          <w:b/>
          <w:bCs/>
        </w:rPr>
        <w:t>Решение по делу №052/06/105-2382/2025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5"/>
          <w:b/>
          <w:bCs/>
        </w:rPr>
        <w:t>о проведении проверки соблюдения законодательства о контрактной системе в сфере</w:t>
        <w:br/>
        <w:t>закупок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5631180</wp:posOffset>
                </wp:positionH>
                <wp:positionV relativeFrom="paragraph">
                  <wp:posOffset>12700</wp:posOffset>
                </wp:positionV>
                <wp:extent cx="1456690" cy="234950"/>
                <wp:wrapSquare wrapText="left"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5669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г. Нижний Новгород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443.40000000000003pt;margin-top:1.pt;width:114.7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г. Нижний Новгород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5"/>
        </w:rPr>
        <w:t>04 сентября 2025 года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  <w:color w:val="0C0C0C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2602" w:val="left"/>
        </w:tabs>
        <w:bidi w:val="0"/>
        <w:spacing w:before="0" w:after="320" w:line="240" w:lineRule="auto"/>
        <w:ind w:left="0" w:right="0" w:firstLine="0"/>
        <w:jc w:val="both"/>
      </w:pPr>
      <w:r>
        <w:rPr>
          <w:rStyle w:val="CharStyle15"/>
        </w:rPr>
        <w:t>Баранова И.В.,</w:t>
        <w:tab/>
        <w:t>- председателя Комиссии, заместителя руководителя управления,</w:t>
      </w:r>
    </w:p>
    <w:tbl>
      <w:tblPr>
        <w:tblOverlap w:val="never"/>
        <w:jc w:val="center"/>
        <w:tblLayout w:type="fixed"/>
      </w:tblPr>
      <w:tblGrid>
        <w:gridCol w:w="2242"/>
        <w:gridCol w:w="7915"/>
      </w:tblGrid>
      <w:tr>
        <w:trPr>
          <w:trHeight w:val="94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</w:rPr>
              <w:t>Колденкова Д.А.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2"/>
              </w:rPr>
              <w:t>Казанцева Д.А.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rStyle w:val="CharStyle22"/>
              </w:rPr>
              <w:t>- члена Комиссии, специалиста-эксперта отдела контроля торгов,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hanging="240"/>
              <w:jc w:val="left"/>
            </w:pPr>
            <w:r>
              <w:rPr>
                <w:rStyle w:val="CharStyle22"/>
              </w:rPr>
              <w:t>- члена Комиссии, ведущего специалиста-эксперта отдела контроля торгов,</w:t>
            </w:r>
          </w:p>
        </w:tc>
      </w:tr>
    </w:tbl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" w:right="0" w:firstLine="0"/>
        <w:jc w:val="left"/>
      </w:pPr>
      <w:r>
        <w:rPr>
          <w:rStyle w:val="CharStyle20"/>
        </w:rPr>
        <w:t>при участии</w:t>
      </w:r>
    </w:p>
    <w:p>
      <w:pPr>
        <w:widowControl w:val="0"/>
        <w:spacing w:after="39"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960" w:right="0" w:hanging="2960"/>
        <w:jc w:val="both"/>
      </w:pPr>
      <w:r>
        <w:rPr>
          <w:rStyle w:val="CharStyle15"/>
        </w:rPr>
        <w:t>Бандакова В.В. - представителя ГП НО «НОФ» (доверенность №31/12 от 21.12.2024),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рассмотрев жалобу ООО «АйсМед» (далее- Заявитель) на действия ГП НО «НОФ» (далее - Заказчик) при проведении электронного аукциона по объекту закупки: «Ц-2083_Закупка медицинских изделий», номер извещения 0432200000825001903 (далее- Закупка),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rStyle w:val="CharStyle15"/>
          <w:b/>
          <w:bCs/>
        </w:rPr>
        <w:t>установила: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5"/>
        </w:rPr>
        <w:t>в Управление Федеральной антимонопольной службы по Нижегородской области (далее также - Нижегородское УФАС России, Управление) поступила жалоба Заявителя на</w:t>
      </w:r>
    </w:p>
    <w:p>
      <w:pPr>
        <w:widowControl w:val="0"/>
        <w:spacing w:line="1" w:lineRule="exact"/>
      </w:pPr>
      <w:r>
        <w:drawing>
          <wp:anchor distT="38100" distB="0" distL="0" distR="0" simplePos="0" relativeHeight="125829380" behindDoc="0" locked="0" layoutInCell="1" allowOverlap="1">
            <wp:simplePos x="0" y="0"/>
            <wp:positionH relativeFrom="page">
              <wp:posOffset>949325</wp:posOffset>
            </wp:positionH>
            <wp:positionV relativeFrom="paragraph">
              <wp:posOffset>38100</wp:posOffset>
            </wp:positionV>
            <wp:extent cx="372110" cy="396240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72110" cy="3962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положения документации о Закупке.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Нижегородское УФАС России приняло к рассмотрению жалобу Заявителя и назначило её рассмотрение на </w:t>
      </w:r>
      <w:r>
        <w:rPr>
          <w:rStyle w:val="CharStyle15"/>
          <w:lang w:val="en-US" w:eastAsia="en-US"/>
        </w:rPr>
        <w:t xml:space="preserve">04.09.2025 </w:t>
      </w:r>
      <w:r>
        <w:rPr>
          <w:rStyle w:val="CharStyle15"/>
        </w:rPr>
        <w:t xml:space="preserve">(уведомление о рассмотрении жалобы от </w:t>
      </w:r>
      <w:r>
        <w:rPr>
          <w:rStyle w:val="CharStyle15"/>
          <w:lang w:val="en-US" w:eastAsia="en-US"/>
        </w:rPr>
        <w:t xml:space="preserve">29.08.2025 </w:t>
      </w:r>
      <w:r>
        <w:rPr>
          <w:rStyle w:val="CharStyle15"/>
        </w:rPr>
        <w:t xml:space="preserve">№ИК/18275/25). </w:t>
      </w:r>
      <w:r>
        <w:rPr>
          <w:rStyle w:val="CharStyle15"/>
          <w:lang w:val="en-US" w:eastAsia="en-US"/>
        </w:rPr>
        <w:t xml:space="preserve">04.09.2025 </w:t>
      </w:r>
      <w:r>
        <w:rPr>
          <w:rStyle w:val="CharStyle15"/>
        </w:rPr>
        <w:t>жалоба была рассмотрена по существу посредством видео-конференц связи.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Представитель Заявителя явку не обеспечил, о причинах неявки не известил, уведомлен надлежащим образом, в связи с чем заседание Комиссии проводилась в его отсутствие.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В ходе заседания Комиссии представитель Заказчика пояснил, что с доводами жалобы не согласен, письменные пояснения поддержал в полном объеме.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Комиссия Управления Федеральной антимонопольной службы по Нижегородской области по контролю в сфере закупок, исследовав материалы дела и осуществив внеплановую проверку рассматриваемой Закупки в соответствии с требованиями части </w:t>
      </w:r>
      <w:r>
        <w:rPr>
          <w:rStyle w:val="CharStyle15"/>
          <w:lang w:val="en-US" w:eastAsia="en-US"/>
        </w:rPr>
        <w:t xml:space="preserve">15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99 </w:t>
      </w:r>
      <w:r>
        <w:rPr>
          <w:rStyle w:val="CharStyle15"/>
        </w:rPr>
        <w:t>Закона о контрактной системе, пришла к следующим выводам.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5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</w:rPr>
        <w:t xml:space="preserve">Размещен документ «Извещение о проведении электронного аукциона от </w:t>
      </w:r>
      <w:r>
        <w:rPr>
          <w:rStyle w:val="CharStyle15"/>
          <w:lang w:val="en-US" w:eastAsia="en-US"/>
        </w:rPr>
        <w:t>27.08.2025;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5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</w:rPr>
        <w:t xml:space="preserve">способ определения поставщика (подрядчика, исполнителя)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электронный аукцион;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95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</w:rPr>
        <w:t xml:space="preserve">начальная (максимальная) цена контракта </w:t>
      </w:r>
      <w:r>
        <w:rPr>
          <w:rStyle w:val="CharStyle15"/>
          <w:lang w:val="en-US" w:eastAsia="en-US"/>
        </w:rPr>
        <w:t xml:space="preserve">– 5 500 000,00 </w:t>
      </w:r>
      <w:r>
        <w:rPr>
          <w:rStyle w:val="CharStyle15"/>
        </w:rPr>
        <w:t>руб.;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95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</w:rPr>
        <w:t xml:space="preserve">дата окончания срока подачи заявок на участие в Закупке </w:t>
      </w:r>
      <w:r>
        <w:rPr>
          <w:rStyle w:val="CharStyle15"/>
          <w:lang w:val="en-US" w:eastAsia="en-US"/>
        </w:rPr>
        <w:t>– 04.09.2025;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5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</w:rPr>
        <w:t xml:space="preserve">дата подведения итогов определения поставщика (подрядчика, исполнителя) </w:t>
      </w:r>
      <w:r>
        <w:rPr>
          <w:rStyle w:val="CharStyle15"/>
          <w:lang w:val="en-US" w:eastAsia="en-US"/>
        </w:rPr>
        <w:t>— 08.09.2025.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</w:rPr>
        <w:t>В своей жалобе Заявитель сообщает, что: «</w:t>
      </w:r>
      <w:r>
        <w:rPr>
          <w:rStyle w:val="CharStyle15"/>
          <w:i/>
          <w:iCs/>
        </w:rPr>
        <w:t xml:space="preserve">Заказчиком объявлено о применении преимуществ в отношении товаров российского происхождения, выполняемых работ, оказываемых услуг российскими лицами. При закупке игл для автоинъектора необходимо применять не преимущества в отношении товаров российского происхождения, а ограничения допуска товаров, происходящих из иностранных государств. Заказчик нарушает Постановление Правительства </w:t>
      </w:r>
      <w:r>
        <w:rPr>
          <w:rStyle w:val="CharStyle15"/>
          <w:i/>
          <w:iCs/>
          <w:lang w:val="en-US" w:eastAsia="en-US"/>
        </w:rPr>
        <w:t>№ 1875.».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</w:rPr>
        <w:t>Представитель Заявителя явку не в заседание Комиссии Нижегородского УФАС России не обеспечил, о причинах неявки не сообщил, уведомлен надлежащим образом. Представитель Заказчика с доводами жалобы не согласился, поддержал возражения в полном объеме.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</w:rPr>
        <w:t>В ходе рассмотрения дела представитель Заказчика пояснил следующее.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</w:rPr>
        <w:t xml:space="preserve">Подпунктом «д» пункта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постановления Правительства РФ от </w:t>
      </w:r>
      <w:r>
        <w:rPr>
          <w:rStyle w:val="CharStyle15"/>
          <w:lang w:val="en-US" w:eastAsia="en-US"/>
        </w:rPr>
        <w:t xml:space="preserve">23.12.2024 №1875 </w:t>
      </w:r>
      <w:r>
        <w:rPr>
          <w:rStyle w:val="CharStyle15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 работ, услуг отдельными видами юридических лиц»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ПП от </w:t>
      </w:r>
      <w:r>
        <w:rPr>
          <w:rStyle w:val="CharStyle15"/>
          <w:lang w:val="en-US" w:eastAsia="en-US"/>
        </w:rPr>
        <w:t xml:space="preserve">23.12.2024 №1875) </w:t>
      </w:r>
      <w:r>
        <w:rPr>
          <w:rStyle w:val="CharStyle15"/>
        </w:rPr>
        <w:t xml:space="preserve">позиции Приложения </w:t>
      </w:r>
      <w:r>
        <w:rPr>
          <w:rStyle w:val="CharStyle15"/>
          <w:lang w:val="en-US" w:eastAsia="en-US"/>
        </w:rPr>
        <w:t xml:space="preserve">№2, </w:t>
      </w:r>
      <w:r>
        <w:rPr>
          <w:rStyle w:val="CharStyle15"/>
        </w:rPr>
        <w:t xml:space="preserve">согласно которому если в объект закупки включены товар работа, услуга, наименования которых указаны в графе "Наименование товара, работы, услуги" и которые включены в код, указанный в графе "Код товара, работы, услуги по Общероссийскому классификатору продукции по видам экономической деятельности ОК </w:t>
      </w:r>
      <w:r>
        <w:rPr>
          <w:rStyle w:val="CharStyle15"/>
          <w:lang w:val="en-US" w:eastAsia="en-US"/>
        </w:rPr>
        <w:t xml:space="preserve">034-2014 </w:t>
      </w:r>
      <w:r>
        <w:rPr>
          <w:rStyle w:val="CharStyle15"/>
        </w:rPr>
        <w:t xml:space="preserve">(КПЕС </w:t>
      </w:r>
      <w:r>
        <w:rPr>
          <w:rStyle w:val="CharStyle15"/>
          <w:lang w:val="en-US" w:eastAsia="en-US"/>
        </w:rPr>
        <w:t xml:space="preserve">2008)", </w:t>
      </w:r>
      <w:r>
        <w:rPr>
          <w:rStyle w:val="CharStyle15"/>
        </w:rPr>
        <w:t xml:space="preserve">или если в объект закупки включен товар, наименование которого указано в графе "Наименование товара" и который включен в код, указанный в графе "Код товара по Общероссийскому классификатору продукции по видам экономической деятельности ОК </w:t>
      </w:r>
      <w:r>
        <w:rPr>
          <w:rStyle w:val="CharStyle15"/>
          <w:lang w:val="en-US" w:eastAsia="en-US"/>
        </w:rPr>
        <w:t xml:space="preserve">034-2014 </w:t>
      </w:r>
      <w:r>
        <w:rPr>
          <w:rStyle w:val="CharStyle15"/>
        </w:rPr>
        <w:t xml:space="preserve">(КПЕС </w:t>
      </w:r>
      <w:r>
        <w:rPr>
          <w:rStyle w:val="CharStyle15"/>
          <w:lang w:val="en-US" w:eastAsia="en-US"/>
        </w:rPr>
        <w:t xml:space="preserve">2008)". </w:t>
      </w:r>
      <w:r>
        <w:rPr>
          <w:rStyle w:val="CharStyle15"/>
        </w:rPr>
        <w:t>При этом если в объект закупки включено медицинское изделие, соответствующая позиция применяется, если закупаемое медицинское изделие также относится к указанному в графе "Наименование товара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работы, услуги" или графе "Наименование товара" коду вида медицинского изделия в соответствии с номенклатурной классификацией медицинских изделий, утвержденной Министерством здравоохранения Российской Федерации.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>Объектом электронного аукциона является «Игла для автоинъектора».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 xml:space="preserve">Заказчиком в отношении закупаемого товара присвоен код позиции КТРУ </w:t>
      </w:r>
      <w:r>
        <w:rPr>
          <w:rStyle w:val="CharStyle15"/>
          <w:lang w:val="en-US" w:eastAsia="en-US"/>
        </w:rPr>
        <w:t xml:space="preserve">32.50.13.110-00005719, </w:t>
      </w:r>
      <w:r>
        <w:rPr>
          <w:rStyle w:val="CharStyle15"/>
        </w:rPr>
        <w:t xml:space="preserve">код ОКПД2 </w:t>
      </w:r>
      <w:r>
        <w:rPr>
          <w:rStyle w:val="CharStyle15"/>
          <w:lang w:val="en-US" w:eastAsia="en-US"/>
        </w:rPr>
        <w:t xml:space="preserve">32.50.13.110, </w:t>
      </w:r>
      <w:r>
        <w:rPr>
          <w:rStyle w:val="CharStyle15"/>
        </w:rPr>
        <w:t xml:space="preserve">НКМИ </w:t>
      </w:r>
      <w:r>
        <w:rPr>
          <w:rStyle w:val="CharStyle15"/>
          <w:lang w:val="en-US" w:eastAsia="en-US"/>
        </w:rPr>
        <w:t>137610.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 xml:space="preserve">Указанный код ОКПД2 содержится в приложении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к ПП от </w:t>
      </w:r>
      <w:r>
        <w:rPr>
          <w:rStyle w:val="CharStyle15"/>
          <w:lang w:val="en-US" w:eastAsia="en-US"/>
        </w:rPr>
        <w:t xml:space="preserve">23.12.2024 №1875 </w:t>
      </w:r>
      <w:r>
        <w:rPr>
          <w:rStyle w:val="CharStyle15"/>
        </w:rPr>
        <w:t xml:space="preserve">(код позиции </w:t>
      </w:r>
      <w:r>
        <w:rPr>
          <w:rStyle w:val="CharStyle15"/>
          <w:lang w:val="en-US" w:eastAsia="en-US"/>
        </w:rPr>
        <w:t>385).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60"/>
        <w:jc w:val="both"/>
      </w:pPr>
      <w:r>
        <w:rPr>
          <w:rStyle w:val="CharStyle15"/>
        </w:rPr>
        <w:t xml:space="preserve">Согласно сведениям из позиции </w:t>
      </w:r>
      <w:r>
        <w:rPr>
          <w:rStyle w:val="CharStyle15"/>
          <w:lang w:val="en-US" w:eastAsia="en-US"/>
        </w:rPr>
        <w:t xml:space="preserve">№ 385 </w:t>
      </w:r>
      <w:r>
        <w:rPr>
          <w:rStyle w:val="CharStyle15"/>
        </w:rPr>
        <w:t xml:space="preserve">в Приложении </w:t>
      </w:r>
      <w:r>
        <w:rPr>
          <w:rStyle w:val="CharStyle15"/>
          <w:lang w:val="en-US" w:eastAsia="en-US"/>
        </w:rPr>
        <w:t xml:space="preserve">№2 </w:t>
      </w:r>
      <w:r>
        <w:rPr>
          <w:rStyle w:val="CharStyle15"/>
        </w:rPr>
        <w:t xml:space="preserve">к ПП от </w:t>
      </w:r>
      <w:r>
        <w:rPr>
          <w:rStyle w:val="CharStyle15"/>
          <w:lang w:val="en-US" w:eastAsia="en-US"/>
        </w:rPr>
        <w:t xml:space="preserve">23.12.2024 №1875 </w:t>
      </w:r>
      <w:r>
        <w:rPr>
          <w:rStyle w:val="CharStyle15"/>
        </w:rPr>
        <w:t xml:space="preserve">код ОКПД2 </w:t>
      </w:r>
      <w:r>
        <w:rPr>
          <w:rStyle w:val="CharStyle15"/>
          <w:lang w:val="en-US" w:eastAsia="en-US"/>
        </w:rPr>
        <w:t xml:space="preserve">32.50.13.110 </w:t>
      </w:r>
      <w:r>
        <w:rPr>
          <w:rStyle w:val="CharStyle15"/>
        </w:rPr>
        <w:t>распространяется не на все входящие в указанный код виды медицинских изделий, а исключительно на медицинские изделия со следующими наименованиями: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6803" w:val="left"/>
        </w:tabs>
        <w:bidi w:val="0"/>
        <w:spacing w:before="0" w:after="0" w:line="240" w:lineRule="auto"/>
        <w:ind w:left="0" w:right="0" w:firstLine="160"/>
        <w:jc w:val="both"/>
      </w:pPr>
      <w:r>
        <w:rPr>
          <w:rStyle w:val="CharStyle15"/>
          <w:lang w:val="en-US" w:eastAsia="en-US"/>
        </w:rPr>
        <w:t xml:space="preserve">385. </w:t>
      </w:r>
      <w:r>
        <w:rPr>
          <w:rStyle w:val="CharStyle15"/>
        </w:rPr>
        <w:t>Иглы хирургические; инструменты колющие;</w:t>
        <w:tab/>
      </w:r>
      <w:r>
        <w:rPr>
          <w:rStyle w:val="CharStyle15"/>
          <w:lang w:val="en-US" w:eastAsia="en-US"/>
        </w:rPr>
        <w:t>32.50.13.110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3874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15"/>
        </w:rPr>
        <w:t>шприцы</w:t>
        <w:tab/>
      </w:r>
      <w:r>
        <w:rPr>
          <w:rStyle w:val="CharStyle15"/>
          <w:lang w:val="en-US" w:eastAsia="en-US"/>
        </w:rPr>
        <w:t>21.20.24.120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2000" w:firstLine="0"/>
        <w:jc w:val="right"/>
      </w:pPr>
      <w:r>
        <w:rPr>
          <w:rStyle w:val="CharStyle15"/>
          <w:lang w:val="en-US" w:eastAsia="en-US"/>
        </w:rPr>
        <w:t>32.50.50.190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 xml:space="preserve">Между тем как указал представитель Заказчика в ходе заседания Комиссии в перечне приложения </w:t>
      </w:r>
      <w:r>
        <w:rPr>
          <w:rStyle w:val="CharStyle15"/>
          <w:lang w:val="en-US" w:eastAsia="en-US"/>
        </w:rPr>
        <w:t xml:space="preserve">№2, </w:t>
      </w:r>
      <w:r>
        <w:rPr>
          <w:rStyle w:val="CharStyle15"/>
        </w:rPr>
        <w:t xml:space="preserve">где указан код </w:t>
      </w:r>
      <w:r>
        <w:rPr>
          <w:rStyle w:val="CharStyle15"/>
          <w:lang w:val="en-US" w:eastAsia="en-US"/>
        </w:rPr>
        <w:t xml:space="preserve">32.50.13.110 </w:t>
      </w:r>
      <w:r>
        <w:rPr>
          <w:rStyle w:val="CharStyle15"/>
        </w:rPr>
        <w:t>согласно классификатору ОКПД2, отсутствует термин «Игла для автоинъектора».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 xml:space="preserve">Также представитель Заказчика отразил, что </w:t>
      </w:r>
      <w:r>
        <w:rPr>
          <w:rStyle w:val="CharStyle15"/>
          <w:i/>
          <w:iCs/>
        </w:rPr>
        <w:t xml:space="preserve">«Заявитель в жалобе ссылается на позицию Минфина РФ, указанную в пп.3.1- 3.3.Информационного письма исх.№ </w:t>
      </w:r>
      <w:r>
        <w:rPr>
          <w:rStyle w:val="CharStyle15"/>
          <w:i/>
          <w:iCs/>
          <w:lang w:val="en-US" w:eastAsia="en-US"/>
        </w:rPr>
        <w:t>24-01</w:t>
        <w:softHyphen/>
        <w:t xml:space="preserve">06/3697 </w:t>
      </w:r>
      <w:r>
        <w:rPr>
          <w:rStyle w:val="CharStyle15"/>
          <w:i/>
          <w:iCs/>
        </w:rPr>
        <w:t xml:space="preserve">от </w:t>
      </w:r>
      <w:r>
        <w:rPr>
          <w:rStyle w:val="CharStyle15"/>
          <w:i/>
          <w:iCs/>
          <w:lang w:val="en-US" w:eastAsia="en-US"/>
        </w:rPr>
        <w:t xml:space="preserve">31.01.2025, </w:t>
      </w:r>
      <w:r>
        <w:rPr>
          <w:rStyle w:val="CharStyle15"/>
          <w:i/>
          <w:iCs/>
        </w:rPr>
        <w:t xml:space="preserve">согласно которой «при применении Постановления </w:t>
      </w:r>
      <w:r>
        <w:rPr>
          <w:rStyle w:val="CharStyle15"/>
          <w:i/>
          <w:iCs/>
          <w:lang w:val="en-US" w:eastAsia="en-US"/>
        </w:rPr>
        <w:t xml:space="preserve">1875 </w:t>
      </w:r>
      <w:r>
        <w:rPr>
          <w:rStyle w:val="CharStyle15"/>
          <w:i/>
          <w:iCs/>
        </w:rPr>
        <w:t xml:space="preserve">не предусматривается обеспечение дословного соответствия наименований, указанных в описании объекта закупки (предмета закупки) наименованиям, указанным б перечнях </w:t>
      </w:r>
      <w:r>
        <w:rPr>
          <w:rStyle w:val="CharStyle15"/>
          <w:i/>
          <w:iCs/>
          <w:lang w:val="en-US" w:eastAsia="en-US"/>
        </w:rPr>
        <w:t>NI- N3.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  <w:i/>
          <w:iCs/>
        </w:rPr>
        <w:t xml:space="preserve">Однако в п.3.3. указанного информационного письма отмечено также следующее: «Правилами использования каталога и Постановлением </w:t>
      </w:r>
      <w:r>
        <w:rPr>
          <w:rStyle w:val="CharStyle15"/>
          <w:i/>
          <w:iCs/>
          <w:lang w:val="en-US" w:eastAsia="en-US"/>
        </w:rPr>
        <w:t xml:space="preserve">№ 1875 </w:t>
      </w:r>
      <w:r>
        <w:rPr>
          <w:rStyle w:val="CharStyle15"/>
          <w:i/>
          <w:iCs/>
        </w:rPr>
        <w:t xml:space="preserve">в настоящее время не предусмотрено использование наименования товара, работы, услуги, содержащегося в позиции каталога, для отнесения закупаемых заказчиком товаров работ услуг к товарам, работам, услугам, в отношении которых Постановлением </w:t>
      </w:r>
      <w:r>
        <w:rPr>
          <w:rStyle w:val="CharStyle15"/>
          <w:i/>
          <w:iCs/>
          <w:lang w:val="en-US" w:eastAsia="en-US"/>
        </w:rPr>
        <w:t xml:space="preserve">№ 1875 </w:t>
      </w:r>
      <w:r>
        <w:rPr>
          <w:rStyle w:val="CharStyle15"/>
          <w:i/>
          <w:iCs/>
        </w:rPr>
        <w:t>применяются соответствующие "защитные" меры.»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  <w:i/>
          <w:iCs/>
        </w:rPr>
        <w:t xml:space="preserve">В жалобе Заявитель в том числе делает собственный вывод о том, что, по его мнению, ОКПД </w:t>
      </w:r>
      <w:r>
        <w:rPr>
          <w:rStyle w:val="CharStyle15"/>
          <w:i/>
          <w:iCs/>
          <w:lang w:val="en-US" w:eastAsia="en-US"/>
        </w:rPr>
        <w:t xml:space="preserve">2 </w:t>
      </w:r>
      <w:r>
        <w:rPr>
          <w:rStyle w:val="CharStyle15"/>
          <w:i/>
          <w:iCs/>
        </w:rPr>
        <w:t>не в полной мере учитывает положения отраслевого законодательства (например, в сфере применения законодательства в сфере охраны здоровья), в том числе в части наименований товаров, работ, услуг,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  <w:i/>
          <w:iCs/>
        </w:rPr>
        <w:t xml:space="preserve">Однако общероссийский классификатор продукции по видам экономической деятельности вообще не содержит такого понятия, как «инструменты колющие». То есть данный термина был включен в Постановление </w:t>
      </w:r>
      <w:r>
        <w:rPr>
          <w:rStyle w:val="CharStyle15"/>
          <w:i/>
          <w:iCs/>
          <w:lang w:val="en-US" w:eastAsia="en-US"/>
        </w:rPr>
        <w:t xml:space="preserve">№1875 </w:t>
      </w:r>
      <w:r>
        <w:rPr>
          <w:rStyle w:val="CharStyle15"/>
          <w:i/>
          <w:iCs/>
        </w:rPr>
        <w:t xml:space="preserve">не исходя из наименования соответствующей позиции по кодам ОКПД. включенным позицию </w:t>
      </w:r>
      <w:r>
        <w:rPr>
          <w:rStyle w:val="CharStyle15"/>
          <w:i/>
          <w:iCs/>
          <w:lang w:val="en-US" w:eastAsia="en-US"/>
        </w:rPr>
        <w:t xml:space="preserve">385. </w:t>
      </w:r>
      <w:r>
        <w:rPr>
          <w:rStyle w:val="CharStyle15"/>
          <w:i/>
          <w:iCs/>
        </w:rPr>
        <w:t xml:space="preserve">Так, согласно общероссийскому классификатору продукции по видам экономической деятельности; код </w:t>
      </w:r>
      <w:r>
        <w:rPr>
          <w:rStyle w:val="CharStyle15"/>
          <w:i/>
          <w:iCs/>
          <w:lang w:val="en-US" w:eastAsia="en-US"/>
        </w:rPr>
        <w:t xml:space="preserve">32.50.13.110 </w:t>
      </w:r>
      <w:r>
        <w:rPr>
          <w:rStyle w:val="CharStyle15"/>
          <w:i/>
          <w:iCs/>
        </w:rPr>
        <w:t>содержит следующее наименование: «Шприцы, иглы, катетеры, канюли и аналогичные инструменты».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60"/>
        <w:jc w:val="both"/>
      </w:pPr>
      <w:r>
        <w:rPr>
          <w:rStyle w:val="CharStyle15"/>
        </w:rPr>
        <w:t xml:space="preserve">По мнению представителя Заказчика единственное упоминание данного термина («колющий медицинский инструмент») содержится в "ГОСТ </w:t>
      </w:r>
      <w:r>
        <w:rPr>
          <w:rStyle w:val="CharStyle15"/>
          <w:lang w:val="en-US" w:eastAsia="en-US"/>
        </w:rPr>
        <w:t xml:space="preserve">25725-89 (СT </w:t>
      </w:r>
      <w:r>
        <w:rPr>
          <w:rStyle w:val="CharStyle15"/>
        </w:rPr>
        <w:t xml:space="preserve">СЭВ </w:t>
      </w:r>
      <w:r>
        <w:rPr>
          <w:rStyle w:val="CharStyle15"/>
          <w:lang w:val="en-US" w:eastAsia="en-US"/>
        </w:rPr>
        <w:t xml:space="preserve">3401-81, СT CЭB 4902-84, CT CЭB 6345-88) </w:t>
      </w:r>
      <w:r>
        <w:rPr>
          <w:rStyle w:val="CharStyle15"/>
        </w:rPr>
        <w:t xml:space="preserve">Государственный стандарт Союза </w:t>
      </w:r>
      <w:r>
        <w:rPr>
          <w:rStyle w:val="CharStyle15"/>
          <w:lang w:val="en-US" w:eastAsia="en-US"/>
        </w:rPr>
        <w:t xml:space="preserve">CCP. </w:t>
      </w:r>
      <w:r>
        <w:rPr>
          <w:rStyle w:val="CharStyle15"/>
        </w:rPr>
        <w:t xml:space="preserve">Инструменты медицинские. Термины и определения" (утв. и введен в действие Постановлением Госстандарта СССР от </w:t>
      </w:r>
      <w:r>
        <w:rPr>
          <w:rStyle w:val="CharStyle15"/>
          <w:lang w:val="en-US" w:eastAsia="en-US"/>
        </w:rPr>
        <w:t xml:space="preserve">29.03.1989 N 856) </w:t>
      </w:r>
      <w:r>
        <w:rPr>
          <w:rStyle w:val="CharStyle15"/>
        </w:rPr>
        <w:t xml:space="preserve">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ГОСТ </w:t>
      </w:r>
      <w:r>
        <w:rPr>
          <w:rStyle w:val="CharStyle15"/>
          <w:lang w:val="en-US" w:eastAsia="en-US"/>
        </w:rPr>
        <w:t>25725-89).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</w:rPr>
        <w:t xml:space="preserve">Также представитель Заказчика отметил, что исходя из анализа положений ГОСТ </w:t>
      </w:r>
      <w:r>
        <w:rPr>
          <w:rStyle w:val="CharStyle15"/>
          <w:lang w:val="en-US" w:eastAsia="en-US"/>
        </w:rPr>
        <w:t xml:space="preserve">25725-89 </w:t>
      </w:r>
      <w:r>
        <w:rPr>
          <w:rStyle w:val="CharStyle15"/>
        </w:rPr>
        <w:t>следует, что он не содержит прямого указания на отнесение игл для автоиньсктора к инструментам колющим.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</w:rPr>
        <w:t xml:space="preserve">В стандарте ГОСТ </w:t>
      </w:r>
      <w:r>
        <w:rPr>
          <w:rStyle w:val="CharStyle15"/>
          <w:lang w:val="en-US" w:eastAsia="en-US"/>
        </w:rPr>
        <w:t xml:space="preserve">25725- 89 </w:t>
      </w:r>
      <w:r>
        <w:rPr>
          <w:rStyle w:val="CharStyle15"/>
        </w:rPr>
        <w:t>отсутствует какая-либо информация об иглах для автоиньектора.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</w:rPr>
        <w:t xml:space="preserve">Следовательно, используя по аналогии разъяснения Минфина, содержащиеся в п.3.3 Информационного письма, данный ГОСТ не может служить обоснованием отнесения закупаемого медицинского изделия к тому товару, который поименован в соответствующем перечне ПП от </w:t>
      </w:r>
      <w:r>
        <w:rPr>
          <w:rStyle w:val="CharStyle15"/>
          <w:lang w:val="en-US" w:eastAsia="en-US"/>
        </w:rPr>
        <w:t xml:space="preserve">23.12.2024 №1875. </w:t>
      </w:r>
      <w:r>
        <w:rPr>
          <w:rStyle w:val="CharStyle15"/>
        </w:rPr>
        <w:t>В том числе, как обратил внимание представитель Заказчика в ходе заседания Комиссии, не могут служить таким обоснованием письма Росздравнадзора, поскольку они не имеют правового статуса нормативно-правовых актов.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</w:rPr>
        <w:t>Комиссия Нижегородского УФАС России отмечает, что действующие нормативно</w:t>
        <w:softHyphen/>
        <w:t xml:space="preserve">правовые акты, стандарты не содержат однозначного указания на то, следует ли причислять иглы для автоиньектора к категории колющих медицинских изделий упомянутых в ПП от </w:t>
      </w:r>
      <w:r>
        <w:rPr>
          <w:rStyle w:val="CharStyle15"/>
          <w:lang w:val="en-US" w:eastAsia="en-US"/>
        </w:rPr>
        <w:t>23.12.2024 №1875.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</w:rPr>
        <w:t xml:space="preserve">В соответствии с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 xml:space="preserve">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 описание объекта закупки в соответствии со статьей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</w:rPr>
        <w:t xml:space="preserve">Частью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 xml:space="preserve">Закона о контрактной системе документация о закупке в соответствии с требованиями, указанными в 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>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</w:rPr>
        <w:t>Комиссия Нижегородского УФАС России обращает внимание, что законы о государственных закупках и о защите конкуренции, предусматривают принцип свободной конкуренции между участниками закупки/поставщиками товаров/работ/услуг, а не производителями указанных товаров работ услуг, таким образом если каждый потенциальный участник закупки имеет свободную возможность участия в закупке и поставки товара соответствующего условиям закупки, то нет оснований утверждать об ограничении конкуренции.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</w:rPr>
        <w:t>В соответствии с требованиями законодательства о контрактной системе Заказчиком осуществлена подготовка к проведению закупки путем получения коммерческих предложений предметно соответствующих потребностям Заказчика. Запрос и коммерческие предложения представлены на обозрение Комиссии. В рамках подготовки процедуры закупки Заказчиком, в том числе, в целях обеспечения конкуренции среди вероятных участников и наиболее точного удовлетворения потребности Заказчика был проведен анализ наличия различных производителей аналогичной продукции.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</w:rPr>
        <w:t>Комиссия Нижегородского УФАС России обращает внимание, что законы о государственных закупках и о защите конкуренции, предусматривают принцип свободной конкуренции между участниками закупки/поставщиками товаров/работ/услуг, а не производителями указанных товаров работ услуг, таким образом если каждый потенциальный участник закупки имеет свободную возможность участия в закупке и поставки товара соответствующего условиям закупки, то нет оснований утверждать об ограничении конкуренции.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</w:rPr>
        <w:t>Таким образом, Комиссия Нижегородского УФАС России полагает, что в действиях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 xml:space="preserve">Заказчика отсутствуют нарушения норм действующего законодательства в сфере закупок, а равным образом и в действующего законодательства о защите конкуренции. На основании изложенного и руководствуясь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15, </w:t>
      </w:r>
      <w:r>
        <w:rPr>
          <w:rStyle w:val="CharStyle15"/>
        </w:rPr>
        <w:t xml:space="preserve">пунктом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99, </w:t>
      </w:r>
      <w:r>
        <w:rPr>
          <w:rStyle w:val="CharStyle15"/>
        </w:rPr>
        <w:t xml:space="preserve">частью </w:t>
      </w:r>
      <w:r>
        <w:rPr>
          <w:rStyle w:val="CharStyle15"/>
          <w:lang w:val="en-US" w:eastAsia="en-US"/>
        </w:rPr>
        <w:t xml:space="preserve">8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106 </w:t>
      </w:r>
      <w:r>
        <w:rPr>
          <w:rStyle w:val="CharStyle15"/>
        </w:rPr>
        <w:t xml:space="preserve">Закона о контрактной системе, Комиссия Нижегородского УФАС России, </w:t>
      </w:r>
      <w:r>
        <w:rPr>
          <w:rStyle w:val="CharStyle15"/>
          <w:b/>
          <w:bCs/>
        </w:rPr>
        <w:t>решила: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</w:rPr>
        <w:t xml:space="preserve">Признать жалобу ООО «АйсМед» на действия ГП НО «НОФ» при проведении электронного аукциона по объекту закупки: «Ц-2083_Закупка медицинских изделий» номер извещения </w:t>
      </w:r>
      <w:r>
        <w:rPr>
          <w:rStyle w:val="CharStyle15"/>
          <w:lang w:val="en-US" w:eastAsia="en-US"/>
        </w:rPr>
        <w:t xml:space="preserve">0432200000825001903, </w:t>
      </w:r>
      <w:r>
        <w:rPr>
          <w:rStyle w:val="CharStyle15"/>
        </w:rPr>
        <w:t>необоснованной.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22" w:right="528" w:bottom="1461" w:left="1090" w:header="0" w:footer="3" w:gutter="0"/>
          <w:cols w:space="720"/>
          <w:noEndnote/>
          <w:rtlGutter w:val="0"/>
          <w:docGrid w:linePitch="360"/>
        </w:sectPr>
      </w:pPr>
      <w:r>
        <w:rPr>
          <w:rStyle w:val="CharStyle15"/>
        </w:rPr>
        <w:t xml:space="preserve">В соответствии с частью </w:t>
      </w:r>
      <w:r>
        <w:rPr>
          <w:rStyle w:val="CharStyle15"/>
          <w:lang w:val="en-US" w:eastAsia="en-US"/>
        </w:rPr>
        <w:t xml:space="preserve">9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106 </w:t>
      </w:r>
      <w:r>
        <w:rPr>
          <w:rStyle w:val="CharStyle15"/>
        </w:rPr>
        <w:t xml:space="preserve">Федерального закона от </w:t>
      </w:r>
      <w:r>
        <w:rPr>
          <w:rStyle w:val="CharStyle15"/>
          <w:lang w:val="en-US" w:eastAsia="en-US"/>
        </w:rPr>
        <w:t xml:space="preserve">05.04.2013 № </w:t>
      </w:r>
      <w:r>
        <w:rPr>
          <w:rStyle w:val="CharStyle15"/>
        </w:rPr>
        <w:t>44-ФЗ «О контрактной системе в сфере закупок товаров, работ, услуг для обеспечения государственных и муниципальных нужд» 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9" w:after="4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70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framePr w:w="2875" w:h="398" w:wrap="none" w:vAnchor="text" w:hAnchor="page" w:x="116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5"/>
          <w:sz w:val="28"/>
          <w:szCs w:val="28"/>
        </w:rPr>
        <w:t>Председатель комиссии</w:t>
      </w:r>
    </w:p>
    <w:p>
      <w:pPr>
        <w:pStyle w:val="Style24"/>
        <w:keepNext w:val="0"/>
        <w:keepLines w:val="0"/>
        <w:framePr w:w="2712" w:h="408" w:wrap="none" w:vAnchor="text" w:hAnchor="page" w:x="5718" w:y="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5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widowControl w:val="0"/>
        <w:spacing w:after="700" w:line="1" w:lineRule="exact"/>
      </w:pPr>
      <w:r>
        <w:drawing>
          <wp:anchor distT="0" distB="0" distL="0" distR="1816735" simplePos="0" relativeHeight="62914694" behindDoc="1" locked="0" layoutInCell="1" allowOverlap="1">
            <wp:simplePos x="0" y="0"/>
            <wp:positionH relativeFrom="page">
              <wp:posOffset>3240405</wp:posOffset>
            </wp:positionH>
            <wp:positionV relativeFrom="paragraph">
              <wp:posOffset>100330</wp:posOffset>
            </wp:positionV>
            <wp:extent cx="298450" cy="347345"/>
            <wp:wrapNone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41" w:bottom="703" w:left="110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81" behindDoc="0" locked="0" layoutInCell="1" allowOverlap="1">
                <wp:simplePos x="0" y="0"/>
                <wp:positionH relativeFrom="page">
                  <wp:posOffset>6148070</wp:posOffset>
                </wp:positionH>
                <wp:positionV relativeFrom="paragraph">
                  <wp:posOffset>12700</wp:posOffset>
                </wp:positionV>
                <wp:extent cx="1024255" cy="252730"/>
                <wp:wrapSquare wrapText="bothSides"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425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5"/>
                                <w:sz w:val="28"/>
                                <w:szCs w:val="28"/>
                              </w:rPr>
                              <w:t>И.В. Баранов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484.10000000000002pt;margin-top:1.pt;width:80.650000000000006pt;height:19.900000000000002pt;z-index:-125829372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5"/>
                          <w:sz w:val="28"/>
                          <w:szCs w:val="28"/>
                        </w:rPr>
                        <w:t>И.В. Баранов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680" w:right="0" w:firstLine="0"/>
        <w:jc w:val="left"/>
      </w:pPr>
      <w:r>
        <w:rPr>
          <w:rStyle w:val="CharStyle27"/>
          <w:color w:val="FFFFFF"/>
        </w:rPr>
        <w:t>СВЕДЕНИЯ О СЕРТИФИКАТЕ ЭП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980" w:right="0" w:firstLine="0"/>
        <w:jc w:val="left"/>
      </w:pPr>
      <w:r>
        <w:rPr>
          <w:rStyle w:val="CharStyle29"/>
        </w:rPr>
        <w:t xml:space="preserve">Кому </w:t>
      </w:r>
      <w:r>
        <w:rPr>
          <w:rStyle w:val="CharStyle29"/>
          <w:color w:val="565656"/>
        </w:rPr>
        <w:t xml:space="preserve">выдан: </w:t>
      </w:r>
      <w:r>
        <w:rPr>
          <w:rStyle w:val="CharStyle29"/>
          <w:color w:val="000000"/>
        </w:rPr>
        <w:t>Баранов Илья Валерьевич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980" w:right="0" w:firstLine="0"/>
        <w:jc w:val="left"/>
      </w:pPr>
      <w:r>
        <w:rPr>
          <w:rStyle w:val="CharStyle29"/>
        </w:rPr>
        <w:t xml:space="preserve">Сертификат </w:t>
      </w:r>
      <w:r>
        <w:rPr>
          <w:rStyle w:val="CharStyle29"/>
          <w:color w:val="292929"/>
        </w:rPr>
        <w:t xml:space="preserve">№ </w:t>
      </w:r>
      <w:r>
        <w:rPr>
          <w:rStyle w:val="CharStyle29"/>
          <w:lang w:val="en-US" w:eastAsia="en-US"/>
        </w:rPr>
        <w:t>00823DDF3459882163B2B99BFD4E606E6E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3980" w:right="0" w:firstLine="0"/>
        <w:jc w:val="left"/>
      </w:pPr>
      <w:r>
        <w:rPr>
          <w:rStyle w:val="CharStyle29"/>
        </w:rPr>
        <w:t xml:space="preserve">Действителен с 11.07.2024 </w:t>
      </w:r>
      <w:r>
        <w:rPr>
          <w:rStyle w:val="CharStyle29"/>
          <w:color w:val="565656"/>
        </w:rPr>
        <w:t>по 04.10.2025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2216" w:bottom="5907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15"/>
          <w:sz w:val="28"/>
          <w:szCs w:val="28"/>
        </w:rPr>
        <w:t>Члены комиссии</w:t>
      </w:r>
    </w:p>
    <w:p>
      <w:pPr>
        <w:widowControl w:val="0"/>
        <w:spacing w:line="139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70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4"/>
        <w:keepNext w:val="0"/>
        <w:keepLines w:val="0"/>
        <w:framePr w:w="2712" w:h="408" w:wrap="none" w:vAnchor="text" w:hAnchor="page" w:x="5718" w:y="1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5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6"/>
        <w:keepNext w:val="0"/>
        <w:keepLines w:val="0"/>
        <w:framePr w:w="2021" w:h="158" w:wrap="none" w:vAnchor="text" w:hAnchor="page" w:x="5781" w:y="596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rStyle w:val="CharStyle27"/>
          <w:color w:val="FFFFFF"/>
        </w:rPr>
        <w:t>СВЕДЕНИЯ О СЕРТИФИКАТЕ ЭП</w:t>
      </w:r>
    </w:p>
    <w:p>
      <w:pPr>
        <w:pStyle w:val="Style28"/>
        <w:keepNext w:val="0"/>
        <w:keepLines w:val="0"/>
        <w:framePr w:w="3480" w:h="470" w:wrap="none" w:vAnchor="text" w:hAnchor="page" w:x="5075" w:y="8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9"/>
        </w:rPr>
        <w:t xml:space="preserve">Кому выдан: </w:t>
      </w:r>
      <w:r>
        <w:rPr>
          <w:rStyle w:val="CharStyle29"/>
          <w:color w:val="000000"/>
        </w:rPr>
        <w:t>Колденков Даниил Александрович</w:t>
      </w:r>
    </w:p>
    <w:p>
      <w:pPr>
        <w:pStyle w:val="Style28"/>
        <w:keepNext w:val="0"/>
        <w:keepLines w:val="0"/>
        <w:framePr w:w="3480" w:h="470" w:wrap="none" w:vAnchor="text" w:hAnchor="page" w:x="5075" w:y="8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9"/>
        </w:rPr>
        <w:t xml:space="preserve">Сертификат </w:t>
      </w:r>
      <w:r>
        <w:rPr>
          <w:rStyle w:val="CharStyle29"/>
          <w:color w:val="292929"/>
        </w:rPr>
        <w:t xml:space="preserve">№ </w:t>
      </w:r>
      <w:r>
        <w:rPr>
          <w:rStyle w:val="CharStyle29"/>
          <w:lang w:val="en-US" w:eastAsia="en-US"/>
        </w:rPr>
        <w:t>00D84EF2E1E1AF1681EC520B87FD3DE73</w:t>
      </w:r>
      <w:r>
        <w:rPr>
          <w:rStyle w:val="CharStyle29"/>
          <w:lang w:val="en-US" w:eastAsia="en-US"/>
        </w:rPr>
        <w:t>E</w:t>
      </w:r>
    </w:p>
    <w:p>
      <w:pPr>
        <w:pStyle w:val="Style28"/>
        <w:keepNext w:val="0"/>
        <w:keepLines w:val="0"/>
        <w:framePr w:w="3480" w:h="470" w:wrap="none" w:vAnchor="text" w:hAnchor="page" w:x="5075" w:y="8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9"/>
        </w:rPr>
        <w:t xml:space="preserve">Действителен с </w:t>
      </w:r>
      <w:r>
        <w:rPr>
          <w:rStyle w:val="CharStyle29"/>
          <w:color w:val="565656"/>
        </w:rPr>
        <w:t>29.08.2025 по 22.1</w:t>
      </w:r>
      <w:r>
        <w:rPr>
          <w:rStyle w:val="CharStyle29"/>
          <w:color w:val="292929"/>
        </w:rPr>
        <w:t>1</w:t>
      </w:r>
      <w:r>
        <w:rPr>
          <w:rStyle w:val="CharStyle29"/>
        </w:rPr>
        <w:t>.2026</w:t>
      </w:r>
    </w:p>
    <w:p>
      <w:pPr>
        <w:pStyle w:val="Style14"/>
        <w:keepNext w:val="0"/>
        <w:keepLines w:val="0"/>
        <w:framePr w:w="1906" w:h="394" w:wrap="none" w:vAnchor="text" w:hAnchor="page" w:x="9390" w:y="5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8"/>
          <w:szCs w:val="28"/>
        </w:rPr>
      </w:pPr>
      <w:r>
        <w:rPr>
          <w:rStyle w:val="CharStyle15"/>
          <w:sz w:val="28"/>
          <w:szCs w:val="28"/>
        </w:rPr>
        <w:t>Д.А. Колденков</w:t>
      </w:r>
    </w:p>
    <w:p>
      <w:pPr>
        <w:pStyle w:val="Style24"/>
        <w:keepNext w:val="0"/>
        <w:keepLines w:val="0"/>
        <w:framePr w:w="2712" w:h="408" w:wrap="none" w:vAnchor="text" w:hAnchor="page" w:x="5718" w:y="18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5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6"/>
        <w:keepNext w:val="0"/>
        <w:keepLines w:val="0"/>
        <w:framePr w:w="2016" w:h="158" w:wrap="none" w:vAnchor="text" w:hAnchor="page" w:x="5785" w:y="2319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rStyle w:val="CharStyle27"/>
          <w:color w:val="FFFFFF"/>
        </w:rPr>
        <w:t>СВЕДЕНИЯ О СЕРТИФИКАТЕ ЭП</w:t>
      </w:r>
    </w:p>
    <w:p>
      <w:pPr>
        <w:pStyle w:val="Style28"/>
        <w:keepNext w:val="0"/>
        <w:keepLines w:val="0"/>
        <w:framePr w:w="3480" w:h="470" w:wrap="none" w:vAnchor="text" w:hAnchor="page" w:x="5075" w:y="25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9"/>
        </w:rPr>
        <w:t xml:space="preserve">Кому выдан: </w:t>
      </w:r>
      <w:r>
        <w:rPr>
          <w:rStyle w:val="CharStyle29"/>
          <w:color w:val="000000"/>
        </w:rPr>
        <w:t>Казанцев Дмитрий Анатольевич</w:t>
      </w:r>
    </w:p>
    <w:p>
      <w:pPr>
        <w:pStyle w:val="Style28"/>
        <w:keepNext w:val="0"/>
        <w:keepLines w:val="0"/>
        <w:framePr w:w="3480" w:h="470" w:wrap="none" w:vAnchor="text" w:hAnchor="page" w:x="5075" w:y="25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9"/>
        </w:rPr>
        <w:t xml:space="preserve">Сертификат </w:t>
      </w:r>
      <w:r>
        <w:rPr>
          <w:rStyle w:val="CharStyle29"/>
          <w:color w:val="292929"/>
        </w:rPr>
        <w:t xml:space="preserve">№ </w:t>
      </w:r>
      <w:r>
        <w:rPr>
          <w:rStyle w:val="CharStyle29"/>
          <w:lang w:val="en-US" w:eastAsia="en-US"/>
        </w:rPr>
        <w:t>00B2DA08EDC9A768891F058192ACA8AB0</w:t>
      </w:r>
      <w:r>
        <w:rPr>
          <w:rStyle w:val="CharStyle29"/>
          <w:lang w:val="en-US" w:eastAsia="en-US"/>
        </w:rPr>
        <w:t>E</w:t>
      </w:r>
    </w:p>
    <w:p>
      <w:pPr>
        <w:pStyle w:val="Style28"/>
        <w:keepNext w:val="0"/>
        <w:keepLines w:val="0"/>
        <w:framePr w:w="3480" w:h="470" w:wrap="none" w:vAnchor="text" w:hAnchor="page" w:x="5075" w:y="25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9"/>
        </w:rPr>
        <w:t xml:space="preserve">Действителен с 28.08.2025 </w:t>
      </w:r>
      <w:r>
        <w:rPr>
          <w:rStyle w:val="CharStyle29"/>
          <w:color w:val="565656"/>
        </w:rPr>
        <w:t xml:space="preserve">по </w:t>
      </w:r>
      <w:r>
        <w:rPr>
          <w:rStyle w:val="CharStyle29"/>
        </w:rPr>
        <w:t>21</w:t>
      </w:r>
      <w:r>
        <w:rPr>
          <w:rStyle w:val="CharStyle29"/>
          <w:color w:val="565656"/>
        </w:rPr>
        <w:t>.1</w:t>
      </w:r>
      <w:r>
        <w:rPr>
          <w:rStyle w:val="CharStyle29"/>
          <w:color w:val="292929"/>
        </w:rPr>
        <w:t>1</w:t>
      </w:r>
      <w:r>
        <w:rPr>
          <w:rStyle w:val="CharStyle29"/>
        </w:rPr>
        <w:t>.2026</w:t>
      </w:r>
    </w:p>
    <w:p>
      <w:pPr>
        <w:pStyle w:val="Style14"/>
        <w:keepNext w:val="0"/>
        <w:keepLines w:val="0"/>
        <w:framePr w:w="1747" w:h="398" w:wrap="none" w:vAnchor="text" w:hAnchor="page" w:x="9549" w:y="22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28"/>
          <w:szCs w:val="28"/>
        </w:rPr>
      </w:pPr>
      <w:r>
        <w:rPr>
          <w:rStyle w:val="CharStyle15"/>
          <w:sz w:val="28"/>
          <w:szCs w:val="28"/>
        </w:rPr>
        <w:t>Д.А. Казанцев</w:t>
      </w:r>
    </w:p>
    <w:p>
      <w:pPr>
        <w:widowControl w:val="0"/>
        <w:spacing w:line="360" w:lineRule="exact"/>
      </w:pPr>
      <w:r>
        <w:drawing>
          <wp:anchor distT="0" distB="0" distL="0" distR="1816735" simplePos="0" relativeHeight="62914695" behindDoc="1" locked="0" layoutInCell="1" allowOverlap="1">
            <wp:simplePos x="0" y="0"/>
            <wp:positionH relativeFrom="page">
              <wp:posOffset>3240405</wp:posOffset>
            </wp:positionH>
            <wp:positionV relativeFrom="paragraph">
              <wp:posOffset>12700</wp:posOffset>
            </wp:positionV>
            <wp:extent cx="298450" cy="347345"/>
            <wp:wrapNone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1816735" simplePos="0" relativeHeight="62914696" behindDoc="1" locked="0" layoutInCell="1" allowOverlap="1">
            <wp:simplePos x="0" y="0"/>
            <wp:positionH relativeFrom="page">
              <wp:posOffset>3240405</wp:posOffset>
            </wp:positionH>
            <wp:positionV relativeFrom="paragraph">
              <wp:posOffset>1094105</wp:posOffset>
            </wp:positionV>
            <wp:extent cx="298450" cy="347345"/>
            <wp:wrapNone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13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1" w:bottom="703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783590</wp:posOffset>
              </wp:positionH>
              <wp:positionV relativeFrom="page">
                <wp:posOffset>10199370</wp:posOffset>
              </wp:positionV>
              <wp:extent cx="725170" cy="12192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2025-21911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1.700000000000003pt;margin-top:803.10000000000002pt;width:57.100000000000001pt;height:9.59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2025-21911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888365</wp:posOffset>
              </wp:positionH>
              <wp:positionV relativeFrom="page">
                <wp:posOffset>10016490</wp:posOffset>
              </wp:positionV>
              <wp:extent cx="728345" cy="12192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2025-21911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69.950000000000003pt;margin-top:788.70000000000005pt;width:57.350000000000001pt;height:9.59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2025-21911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Body text (5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0">
    <w:name w:val="Table caption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2">
    <w:name w:val="Other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5">
    <w:name w:val="Picture caption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7">
    <w:name w:val="Body text (4)_"/>
    <w:basedOn w:val="DefaultParagraphFont"/>
    <w:link w:val="Style2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9">
    <w:name w:val="Body text (2)_"/>
    <w:basedOn w:val="DefaultParagraphFont"/>
    <w:link w:val="Style28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spacing w:after="3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2">
    <w:name w:val="Body text (5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9">
    <w:name w:val="Table caption"/>
    <w:basedOn w:val="Normal"/>
    <w:link w:val="CharStyle2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1">
    <w:name w:val="Other"/>
    <w:basedOn w:val="Normal"/>
    <w:link w:val="CharStyle22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4">
    <w:name w:val="Picture caption"/>
    <w:basedOn w:val="Normal"/>
    <w:link w:val="CharStyle2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6">
    <w:name w:val="Body text (4)"/>
    <w:basedOn w:val="Normal"/>
    <w:link w:val="CharStyle27"/>
    <w:pPr>
      <w:widowControl w:val="0"/>
      <w:shd w:val="clear" w:color="auto" w:fill="auto"/>
      <w:spacing w:after="50"/>
      <w:ind w:left="23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8">
    <w:name w:val="Body text (2)"/>
    <w:basedOn w:val="Normal"/>
    <w:link w:val="CharStyle29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