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51" w:bottom="1225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71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9.09.2025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АА/9120/2</w:t>
      </w:r>
      <w:r>
        <w:rPr>
          <w:rStyle w:val="CharStyle11"/>
          <w:u w:val="none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 xml:space="preserve">ООО "АГЕНТСТВО ФИНАНСОВОГО КОНСАЛТИНГА "ФИНДИРЕКТ" </w:t>
      </w:r>
      <w:r>
        <w:fldChar w:fldCharType="begin"/>
      </w:r>
      <w:r>
        <w:rPr/>
        <w:instrText> HYPERLINK "mailto:karpova.e487@gmail.com" </w:instrText>
      </w:r>
      <w:r>
        <w:fldChar w:fldCharType="separate"/>
      </w:r>
      <w:r>
        <w:rPr>
          <w:rStyle w:val="CharStyle18"/>
          <w:sz w:val="28"/>
          <w:szCs w:val="28"/>
          <w:lang w:val="en-US" w:eastAsia="en-US"/>
        </w:rPr>
        <w:t>karpova.e487@gmail.com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>ГКУ РБ Центр организации дорожного движения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 xml:space="preserve">г. Уфа, ул. К.Маркса, 3Б, 450008 </w:t>
      </w:r>
      <w:r>
        <w:fldChar w:fldCharType="begin"/>
      </w:r>
      <w:r>
        <w:rPr/>
        <w:instrText> HYPERLINK "mailto:zakup@coddrb.ru" </w:instrText>
      </w:r>
      <w:r>
        <w:fldChar w:fldCharType="separate"/>
      </w:r>
      <w:r>
        <w:rPr>
          <w:rStyle w:val="CharStyle18"/>
          <w:sz w:val="28"/>
          <w:szCs w:val="28"/>
          <w:lang w:val="en-US" w:eastAsia="en-US"/>
        </w:rPr>
        <w:t>zakup@coddrb.ru</w:t>
      </w:r>
      <w:r>
        <w:fldChar w:fldCharType="end"/>
      </w:r>
      <w:r>
        <w:rPr>
          <w:rStyle w:val="CharStyle18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"mailto:codd@coddrb.ru" </w:instrText>
      </w:r>
      <w:r>
        <w:fldChar w:fldCharType="separate"/>
      </w:r>
      <w:r>
        <w:rPr>
          <w:rStyle w:val="CharStyle18"/>
          <w:sz w:val="28"/>
          <w:szCs w:val="28"/>
          <w:lang w:val="en-US" w:eastAsia="en-US"/>
        </w:rPr>
        <w:t>codd@coddrb.ru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>Государственный комитет Республики Башкортостан по конкурентной политике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>450008, Республика Башкортостан,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771" w:bottom="1313" w:left="1135" w:header="0" w:footer="3" w:gutter="0"/>
          <w:cols w:num="2" w:space="720" w:equalWidth="0">
            <w:col w:w="4224" w:space="1046"/>
            <w:col w:w="4723"/>
          </w:cols>
          <w:noEndnote/>
          <w:rtlGutter w:val="0"/>
          <w:docGrid w:linePitch="360"/>
        </w:sectPr>
      </w:pPr>
      <w:r>
        <w:rPr>
          <w:rStyle w:val="CharStyle18"/>
          <w:sz w:val="28"/>
          <w:szCs w:val="28"/>
        </w:rPr>
        <w:t xml:space="preserve">Уфа, ул. Цюрупы, д. 13 </w:t>
      </w:r>
      <w:r>
        <w:fldChar w:fldCharType="begin"/>
      </w:r>
      <w:r>
        <w:rPr/>
        <w:instrText> HYPERLINK "mailto:gkmser@bashkortostan.ru" </w:instrText>
      </w:r>
      <w:r>
        <w:fldChar w:fldCharType="separate"/>
      </w:r>
      <w:r>
        <w:rPr>
          <w:rStyle w:val="CharStyle18"/>
          <w:sz w:val="28"/>
          <w:szCs w:val="28"/>
          <w:lang w:val="en-US" w:eastAsia="en-US"/>
        </w:rPr>
        <w:t>gkmser@bashkortostan.ru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6" w:right="0" w:bottom="12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rStyle w:val="CharStyle18"/>
          <w:b/>
          <w:bCs/>
        </w:rPr>
        <w:t>РЕШЕНИЕ по делу № ТО 002/06/106-1456/2025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320" w:val="left"/>
        </w:tabs>
        <w:bidi w:val="0"/>
        <w:spacing w:before="0" w:after="600"/>
        <w:ind w:left="0" w:right="0" w:firstLine="0"/>
        <w:jc w:val="left"/>
      </w:pPr>
      <w:r>
        <w:rPr>
          <w:rStyle w:val="CharStyle18"/>
        </w:rPr>
        <w:t>«04» сентября 2025 года</w:t>
        <w:tab/>
        <w:t>г. Уфа, ул. Пушкина, 95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Председатель Комиссии – начальник отдела контроля закупок Управления Федеральной антимонопольной службы по Республике Башкортостан – Арсланов А.А.;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Style w:val="CharStyle18"/>
        </w:rPr>
        <w:t>главный специалист-эксперт отдела контроля закупок – Агзамова Д.Р.;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Style w:val="CharStyle18"/>
        </w:rPr>
        <w:t>специалист-эксперт отдела контроля закупок – Шарифуллин Т.А.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Посредством видеоконференцсвязи: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  <w:b/>
          <w:bCs/>
        </w:rPr>
        <w:t>Заказчик</w:t>
      </w:r>
      <w:r>
        <w:rPr>
          <w:rStyle w:val="CharStyle18"/>
        </w:rPr>
        <w:t>: ГКУ РБ «Центр организации дорожного движения»;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  <w:b/>
          <w:bCs/>
        </w:rPr>
        <w:t xml:space="preserve">Уполномоченный орган: </w:t>
      </w:r>
      <w:r>
        <w:rPr>
          <w:rStyle w:val="CharStyle18"/>
        </w:rPr>
        <w:t>Государственный комитет Республики Башкортостан по конкурентной политике;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860"/>
        <w:jc w:val="left"/>
      </w:pPr>
      <w:r>
        <w:rPr>
          <w:rStyle w:val="CharStyle18"/>
          <w:b/>
          <w:bCs/>
        </w:rPr>
        <w:t xml:space="preserve">Заявитель: </w:t>
      </w:r>
      <w:r>
        <w:rPr>
          <w:rStyle w:val="CharStyle18"/>
        </w:rPr>
        <w:t>ООО «Агентство финансового консалтинга «ФинДирект»;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8"/>
          <w:b/>
          <w:bCs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860"/>
        <w:jc w:val="both"/>
      </w:pPr>
      <w:r>
        <w:rPr>
          <w:rStyle w:val="CharStyle18"/>
        </w:rPr>
        <w:t>В адрес Управления Федеральной антимонопольной службы по Республике</w:t>
      </w:r>
    </w:p>
    <w:p>
      <w:pPr>
        <w:widowControl w:val="0"/>
        <w:spacing w:line="1" w:lineRule="exact"/>
      </w:pPr>
      <w:r>
        <w:drawing>
          <wp:anchor distT="1270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Башкортостан поступила жалоба от ООО «Агентство финансового консалтинга «ФинДирект» (вх. </w:t>
      </w:r>
      <w:r>
        <w:rPr>
          <w:rStyle w:val="CharStyle18"/>
          <w:lang w:val="en-US" w:eastAsia="en-US"/>
        </w:rPr>
        <w:t xml:space="preserve">13027/25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01.09.2025) </w:t>
      </w:r>
      <w:r>
        <w:rPr>
          <w:rStyle w:val="CharStyle18"/>
        </w:rPr>
        <w:t xml:space="preserve">на действия ГКУ РБ «Центр организации дорожного движения»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Заказчик, Ответственный заказчик) при проведении электронного аукциона </w:t>
      </w:r>
      <w:r>
        <w:rPr>
          <w:rStyle w:val="CharStyle18"/>
          <w:lang w:val="en-US" w:eastAsia="en-US"/>
        </w:rPr>
        <w:t xml:space="preserve">№ 0101500000325000310 </w:t>
      </w:r>
      <w:r>
        <w:rPr>
          <w:rStyle w:val="CharStyle18"/>
        </w:rPr>
        <w:t>«Создание интегрированной интеллектуальной системы фиксации транспортных средств для автоматизированного выявления транспортных средств, передвигающихся со скрытыми государственными регистрационными номерами и с превышением допустимых весовых и габаритных параметров по автомобильным дорогам общего пользования Республики Башкортостан регионального и (или) межмуниципального значения».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По мнению Заявителя, Заказчиком, Уполномоченным органом нарушен Федеральный закон от </w:t>
      </w:r>
      <w:r>
        <w:rPr>
          <w:rStyle w:val="CharStyle18"/>
          <w:lang w:val="en-US" w:eastAsia="en-US"/>
        </w:rPr>
        <w:t xml:space="preserve">05.04.2013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Закон о контрактной системе), а именно жалоба на действия (бездействие)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Жалоба подана в соответствии с требованиями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Информация о поступлении жалобы в соответствии с ч.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 размещена в единой информационной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и Уполномоченным органом была представлена информация по закупке </w:t>
      </w:r>
      <w:r>
        <w:rPr>
          <w:rStyle w:val="CharStyle18"/>
          <w:lang w:val="en-US" w:eastAsia="en-US"/>
        </w:rPr>
        <w:t xml:space="preserve">№ 0101500000325000310 </w:t>
      </w:r>
      <w:r>
        <w:rPr>
          <w:rStyle w:val="CharStyle18"/>
        </w:rPr>
        <w:t>«Создание интегрированной интеллектуальной системы фиксации транспортных средств для автоматизированного выявления транспортных средств, передвигающихся со скрытыми государственными регистрационными номерами и с превышением допустимых весовых и габаритных параметров по автомобильным дорогам общего пользования Республики Башкортостан регионального и (или) межмуниципального значения».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Комиссия Башкортостанского УФАС России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Комиссия) изучив и рассмотрев представленные материалы дела,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  <w:lang w:val="en-US" w:eastAsia="en-US"/>
        </w:rPr>
        <w:t xml:space="preserve">22.08.2025 </w:t>
      </w:r>
      <w:r>
        <w:rPr>
          <w:rStyle w:val="CharStyle18"/>
        </w:rPr>
        <w:t xml:space="preserve">г. 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18"/>
          <w:lang w:val="en-US" w:eastAsia="en-US"/>
        </w:rPr>
        <w:t>№ 0101500000325000310.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Начальная (максимальная) цена контракта </w:t>
      </w:r>
      <w:r>
        <w:rPr>
          <w:rStyle w:val="CharStyle18"/>
          <w:lang w:val="en-US" w:eastAsia="en-US"/>
        </w:rPr>
        <w:t xml:space="preserve">– 61 753 672,00 </w:t>
      </w:r>
      <w:r>
        <w:rPr>
          <w:rStyle w:val="CharStyle18"/>
        </w:rPr>
        <w:t>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Дата окончания срока подачи заявок- </w:t>
      </w:r>
      <w:r>
        <w:rPr>
          <w:rStyle w:val="CharStyle18"/>
          <w:lang w:val="en-US" w:eastAsia="en-US"/>
        </w:rPr>
        <w:t xml:space="preserve">01.09.2025 </w:t>
      </w:r>
      <w:r>
        <w:rPr>
          <w:rStyle w:val="CharStyle18"/>
        </w:rPr>
        <w:t>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 xml:space="preserve">ООО «АФК «ФинДирект»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Заявитель) считает, что данная закупка размещена с нарушениями требований 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44-ФЗ), а также с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нарушениями требований Федерального закона от </w:t>
      </w:r>
      <w:r>
        <w:rPr>
          <w:rStyle w:val="CharStyle18"/>
          <w:lang w:val="en-US" w:eastAsia="en-US"/>
        </w:rPr>
        <w:t xml:space="preserve">26.07.2006 № </w:t>
      </w:r>
      <w:r>
        <w:rPr>
          <w:rStyle w:val="CharStyle18"/>
        </w:rPr>
        <w:t xml:space="preserve">135-ФЗ «О защите конкуренции»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135-ФЗ).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Со стороны Заказчика и Уполномоченного органа поступили письменные возражения, полагают требования Заявителя необоснованными и просят отказать в удовлетворении жалобы ООО «АФК «ФинДирект».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В соответствии с частью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26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апреля </w:t>
      </w:r>
      <w:r>
        <w:rPr>
          <w:rStyle w:val="CharStyle18"/>
          <w:lang w:val="en-US" w:eastAsia="en-US"/>
        </w:rPr>
        <w:t xml:space="preserve">2013 </w:t>
      </w:r>
      <w:r>
        <w:rPr>
          <w:rStyle w:val="CharStyle18"/>
        </w:rPr>
        <w:t xml:space="preserve">года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о контрактной системе) и постановлением Правительства Республики Башкортостан от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июня </w:t>
      </w:r>
      <w:r>
        <w:rPr>
          <w:rStyle w:val="CharStyle18"/>
          <w:lang w:val="en-US" w:eastAsia="en-US"/>
        </w:rPr>
        <w:t xml:space="preserve">2020 </w:t>
      </w:r>
      <w:r>
        <w:rPr>
          <w:rStyle w:val="CharStyle18"/>
        </w:rPr>
        <w:t xml:space="preserve">года </w:t>
      </w:r>
      <w:r>
        <w:rPr>
          <w:rStyle w:val="CharStyle18"/>
          <w:lang w:val="en-US" w:eastAsia="en-US"/>
        </w:rPr>
        <w:t xml:space="preserve">№ 363 </w:t>
      </w:r>
      <w:r>
        <w:rPr>
          <w:rStyle w:val="CharStyle18"/>
        </w:rPr>
        <w:t xml:space="preserve">«О централизованных закупках товаров, работ, услуг для обеспечения государственных и муниципальных нужд Республики Башкортостан»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Постановление </w:t>
      </w:r>
      <w:r>
        <w:rPr>
          <w:rStyle w:val="CharStyle18"/>
          <w:lang w:val="en-US" w:eastAsia="en-US"/>
        </w:rPr>
        <w:t xml:space="preserve">№ 363) </w:t>
      </w:r>
      <w:r>
        <w:rPr>
          <w:rStyle w:val="CharStyle18"/>
        </w:rPr>
        <w:t>Госкомитет является органом, уполномоченным на определение поставщиков (подрядчиков, исполнителей).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Частью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Приложения к Порядку взаимодействия Госкомитета и государственного казенного учреждения Республики Башкортостан «Республиканский центр торгов» с заказчиками при осуществлении централизованных закупок в Республике Башкортостан, утвержденному Постановлением </w:t>
      </w:r>
      <w:r>
        <w:rPr>
          <w:rStyle w:val="CharStyle18"/>
          <w:lang w:val="en-US" w:eastAsia="en-US"/>
        </w:rPr>
        <w:t xml:space="preserve">№ 363, </w:t>
      </w:r>
      <w:r>
        <w:rPr>
          <w:rStyle w:val="CharStyle18"/>
        </w:rPr>
        <w:t>описание объекта закупки относится к функции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Исходя из положений Закона о контрактной системе и общего смысла законодательства о контрактной системе, следует, что основанием для проведения любой закупки является наличие нужд (потребности) заказчика в приобретении товаров, работ, услуг для обеспечения своей деятельности.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Законом о контрактной системе не предусмотрены ограничения по включению в извещение о проведении закупки требований к товару, которые являются значимыми для заказчика и отвечают его потребностям.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Основной задачей законодательства о контрактной системе является не только обеспечение максимально широкого круга участников размещения заказов, но и выявление лица, исполнение контракта которым в наибольшей степени будет отвечать целям эффективного использования источников финансирования. Закон о контрактной системе не обязывает заказчика при определении характеристик поставляемого для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18"/>
        </w:rPr>
        <w:t>государственных нужд товара в извещении о проведении закупки устанавливать такие характеристики, которые соответствовали бы всем существующим типам, видам, моделям товара.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При формировании описания объекта закупки заказчику в рамках Закона о контрактной системе предоставлены полномочия по самостоятельному определению параметров и характеристик товара, в наибольшей степени удовлетворяющих его потребности. Для достижения целей закупки Заказчику необходим товар с характеристиками, указанными в описании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Установлено, целью закупки является «Оказание услуг по организации функционирования (создания) системы комплексов автоматической фото и видеофиксации нарушений ПДД».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 xml:space="preserve">В соответствии с описанием объекта закупки (Раздел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 xml:space="preserve">описания объекта закупки) предметом закупки является: система, состоящая из комплекса технических средств, а именно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Специальное техническое средство, серверное оборудование и программное обеспечение, предназначенная для автоматизации процесса поиска и анализа информации о Государственном регистрационном номере крупногабаритных и/или тяжеловесных ТС, осуществляющих движение со скрытыми или плохо читаемыми Государственными регистрационными номера (нанесенных на изделие, изготовленное в соответствие с требованиями национального стандарта) в зоне Автоматического пункта весового и габаритного контроля, расположенных на автомобильных дорогах общего пользования Республики Башкортостан регионального и (или) межмуниципального значения, интегрированная с существующей системой Автоматического пункта весового и габаритного контроля.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При работе модуля достигаются следующие результаты: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повышение эффективности механизмов экономического стимулирования сохранности автомобильных дорог общего пользования Республики Башкортостан регионального и (или) межмуниципального значения;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создание условий неотвратимости привлечения к административной ответственности перевозчиков скрывающих ГРН ТС при проезде через АПВГК;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9" w:val="left"/>
        </w:tabs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повышение эффективности обработки данных, получаемых с АПВГК.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Таким образом с помощью системы заказчик планирует автоматическое формирование доказательной базы, необходимой для подтверждения факта совершения административного правонарушения и привлечения собственников (владельцев) крупногабаритных и/или тяжеловесных ТС, двигающихся в зоне осуществления весо</w:t>
        <w:softHyphen/>
        <w:t xml:space="preserve">габаритного контроля со скрытым или плохо читаемым регистрационными знаками, к ответственности, предусмотренной положениями статьи </w:t>
      </w:r>
      <w:r>
        <w:rPr>
          <w:rStyle w:val="CharStyle18"/>
          <w:lang w:val="en-US" w:eastAsia="en-US"/>
        </w:rPr>
        <w:t xml:space="preserve">12.21.1 </w:t>
      </w:r>
      <w:r>
        <w:rPr>
          <w:rStyle w:val="CharStyle18"/>
        </w:rPr>
        <w:t>КоАП РФ (Нарушение правил движения тяжеловесного и (или) крупногабаритного транспортного средства), а не привлечение ответственных лиц за нарушения движения со скрытым или плохо читаемым регистрационными знаками.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880"/>
        <w:jc w:val="both"/>
      </w:pPr>
      <w:r>
        <w:rPr>
          <w:rStyle w:val="CharStyle18"/>
        </w:rPr>
        <w:t>Описанием объекта закупки четко установлены назначение, цели, требования 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>описание необходимых работ, которые необходимы для удовлетворения потребности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В соответствии с Общероссийским классификатором продукции по видам экономической деятельности под кодом ОКПД2 </w:t>
      </w:r>
      <w:r>
        <w:rPr>
          <w:rStyle w:val="CharStyle18"/>
          <w:lang w:val="en-US" w:eastAsia="en-US"/>
        </w:rPr>
        <w:t xml:space="preserve">26.40.33.191 </w:t>
      </w:r>
      <w:r>
        <w:rPr>
          <w:rStyle w:val="CharStyle18"/>
        </w:rPr>
        <w:t>указано «Комплексы автоматической фотовидеофиксации информации», что соответствует потребностям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Установлено, в рамках Закупки Заказчик </w:t>
      </w:r>
      <w:r>
        <w:rPr>
          <w:rStyle w:val="CharStyle18"/>
          <w:b/>
          <w:bCs/>
        </w:rPr>
        <w:t xml:space="preserve">не осуществляет контроль ПДД, </w:t>
      </w:r>
      <w:r>
        <w:rPr>
          <w:rStyle w:val="CharStyle18"/>
        </w:rPr>
        <w:t>закупаемые специальные технические средства (СТС) должны фиксировать проезды ТС с открытыми и закрытыми регистрационными знаками в зоне действия пунктов ВГК, что прямо установлено в описании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В соответствии с п.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Правил использования КТРУ (утв. Постановлением Правительства РФ </w:t>
      </w:r>
      <w:r>
        <w:rPr>
          <w:rStyle w:val="CharStyle18"/>
          <w:lang w:val="en-US" w:eastAsia="en-US"/>
        </w:rPr>
        <w:t xml:space="preserve">№ 145), </w:t>
      </w:r>
      <w:r>
        <w:rPr>
          <w:rStyle w:val="CharStyle18"/>
        </w:rPr>
        <w:t xml:space="preserve">если объект закупки является сложным и в каталоге отсутствует позиция, в точности соответствующая такому объекту, </w:t>
      </w:r>
      <w:r>
        <w:rPr>
          <w:rStyle w:val="CharStyle18"/>
          <w:u w:val="single"/>
        </w:rPr>
        <w:t>Заказчик вправе осуществить описание самостоятельно</w:t>
      </w:r>
      <w:r>
        <w:rPr>
          <w:rStyle w:val="CharStyle18"/>
        </w:rPr>
        <w:t xml:space="preserve"> в соответствии со ст.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 xml:space="preserve">Федерального 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В соответствии с разделом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ГОСТ </w:t>
      </w:r>
      <w:r>
        <w:rPr>
          <w:rStyle w:val="CharStyle18"/>
          <w:lang w:val="en-US" w:eastAsia="en-US"/>
        </w:rPr>
        <w:t xml:space="preserve">14254-2015. </w:t>
      </w:r>
      <w:r>
        <w:rPr>
          <w:rStyle w:val="CharStyle18"/>
        </w:rPr>
        <w:t xml:space="preserve">«Межгосударственный стандарт. Степени защиты, обеспечиваемые оболочками (Код </w:t>
      </w:r>
      <w:r>
        <w:rPr>
          <w:rStyle w:val="CharStyle18"/>
          <w:lang w:val="en-US" w:eastAsia="en-US"/>
        </w:rPr>
        <w:t xml:space="preserve">IP)» </w:t>
      </w:r>
      <w:r>
        <w:rPr>
          <w:rStyle w:val="CharStyle18"/>
        </w:rPr>
        <w:t xml:space="preserve">указано следующее: «Предполагается, что обозначение второй характеристической цифрой от </w:t>
      </w:r>
      <w:r>
        <w:rPr>
          <w:rStyle w:val="CharStyle18"/>
          <w:lang w:val="en-US" w:eastAsia="en-US"/>
        </w:rPr>
        <w:t xml:space="preserve">0 </w:t>
      </w:r>
      <w:r>
        <w:rPr>
          <w:rStyle w:val="CharStyle18"/>
        </w:rPr>
        <w:t xml:space="preserve">до </w:t>
      </w:r>
      <w:r>
        <w:rPr>
          <w:rStyle w:val="CharStyle18"/>
          <w:lang w:val="en-US" w:eastAsia="en-US"/>
        </w:rPr>
        <w:t xml:space="preserve">6, 9 </w:t>
      </w:r>
      <w:r>
        <w:rPr>
          <w:rStyle w:val="CharStyle18"/>
        </w:rPr>
        <w:t>означает соответствие одновременно всем требованиям для меньших цифр. При этом не обязательно проводить испытания на установление соответствия какой-либо из более низких степеней защиты, если очевидно, что результаты таких испытаний будут заведомо удовлетворительными».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Заказчиком указано требование </w:t>
      </w:r>
      <w:r>
        <w:rPr>
          <w:rStyle w:val="CharStyle18"/>
          <w:lang w:val="en-US" w:eastAsia="en-US"/>
        </w:rPr>
        <w:t xml:space="preserve">«…СТС </w:t>
      </w:r>
      <w:r>
        <w:rPr>
          <w:rStyle w:val="CharStyle18"/>
        </w:rPr>
        <w:t xml:space="preserve">должно размещаться в герметичном корпусе, обеспечивающем степень защиты </w:t>
      </w:r>
      <w:r>
        <w:rPr>
          <w:rStyle w:val="CharStyle18"/>
          <w:b/>
          <w:bCs/>
        </w:rPr>
        <w:t xml:space="preserve">не ниже </w:t>
      </w:r>
      <w:r>
        <w:rPr>
          <w:rStyle w:val="CharStyle18"/>
          <w:b/>
          <w:bCs/>
          <w:lang w:val="en-US" w:eastAsia="en-US"/>
        </w:rPr>
        <w:t>IP65</w:t>
      </w:r>
      <w:r>
        <w:rPr>
          <w:rStyle w:val="CharStyle18"/>
          <w:lang w:val="en-US" w:eastAsia="en-US"/>
        </w:rPr>
        <w:t xml:space="preserve">…», </w:t>
      </w:r>
      <w:r>
        <w:rPr>
          <w:rStyle w:val="CharStyle18"/>
        </w:rPr>
        <w:t xml:space="preserve">так как в соответствии с ГОСТ </w:t>
      </w:r>
      <w:r>
        <w:rPr>
          <w:rStyle w:val="CharStyle18"/>
          <w:lang w:val="en-US" w:eastAsia="en-US"/>
        </w:rPr>
        <w:t xml:space="preserve">14254-2015 </w:t>
      </w:r>
      <w:r>
        <w:rPr>
          <w:rStyle w:val="CharStyle18"/>
        </w:rPr>
        <w:t xml:space="preserve">степень защиты </w:t>
      </w:r>
      <w:r>
        <w:rPr>
          <w:rStyle w:val="CharStyle18"/>
          <w:lang w:val="en-US" w:eastAsia="en-US"/>
        </w:rPr>
        <w:t xml:space="preserve">IP66 </w:t>
      </w:r>
      <w:r>
        <w:rPr>
          <w:rStyle w:val="CharStyle18"/>
        </w:rPr>
        <w:t>означает соответствие одновременно всем требованиям для меньших цифр.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Заказчик не предъявлял требования к закупке программного обеспечения </w:t>
      </w:r>
      <w:r>
        <w:rPr>
          <w:rStyle w:val="CharStyle18"/>
          <w:lang w:val="en-US" w:eastAsia="en-US"/>
        </w:rPr>
        <w:t xml:space="preserve">Microsoft. </w:t>
      </w:r>
      <w:r>
        <w:rPr>
          <w:rStyle w:val="CharStyle18"/>
        </w:rPr>
        <w:t>Указанные текстовые и графический редакторы не являются объектом закупки, а служат только для определения расширения предоставляемой документации в электронном виде по объекту Закупки и не могут ограничивать конкуренцию.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Требование о наличии специализированного мобильного приложения в составе СТС является частью поставляемого оборудования, без наличия которого, использование оборудования в принципе невозможно. Таким образом, на данное приложение не распространяются требования Постановления Правительства РФ </w:t>
      </w:r>
      <w:r>
        <w:rPr>
          <w:rStyle w:val="CharStyle18"/>
          <w:lang w:val="en-US" w:eastAsia="en-US"/>
        </w:rPr>
        <w:t xml:space="preserve">№ 1236 </w:t>
      </w:r>
      <w:r>
        <w:rPr>
          <w:rStyle w:val="CharStyle18"/>
        </w:rPr>
        <w:t>о наличии в реестре российского ПО, так как оно является составной частью СТС.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Электронным документом «Описание объекта закупки» пунктом </w:t>
      </w:r>
      <w:r>
        <w:rPr>
          <w:rStyle w:val="CharStyle18"/>
          <w:lang w:val="en-US" w:eastAsia="en-US"/>
        </w:rPr>
        <w:t xml:space="preserve">2.10 </w:t>
      </w:r>
      <w:r>
        <w:rPr>
          <w:rStyle w:val="CharStyle18"/>
        </w:rPr>
        <w:t>установлено: «Работа подсистемы «Раскрытие ГРН» должна быть реализована по принципу недопустимости влияния оператора на результат идентификация ГРН ТС. В результате соблюдения данного принципа оператору предоставляется доступ к уже конечному результату идентификации ГРН для его оценки. Соблюдение данного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принципа должно быть подтверждено сертификатом соответствия требованиям нормативной документации ГОСТ Р </w:t>
      </w:r>
      <w:r>
        <w:rPr>
          <w:rStyle w:val="CharStyle18"/>
          <w:lang w:val="en-US" w:eastAsia="en-US"/>
        </w:rPr>
        <w:t xml:space="preserve">8.654-2015, </w:t>
      </w:r>
      <w:r>
        <w:rPr>
          <w:rStyle w:val="CharStyle18"/>
        </w:rPr>
        <w:t xml:space="preserve">ГОСТ Р </w:t>
      </w:r>
      <w:r>
        <w:rPr>
          <w:rStyle w:val="CharStyle18"/>
          <w:lang w:val="en-US" w:eastAsia="en-US"/>
        </w:rPr>
        <w:t xml:space="preserve">8.883-2015 </w:t>
      </w:r>
      <w:r>
        <w:rPr>
          <w:rStyle w:val="CharStyle18"/>
        </w:rPr>
        <w:t xml:space="preserve">к программному обеспечению средств измерений, применяемых в сфере государственного регулирования обеспечения единства измерений. Исполнитель направляет Заказчику информацию о сертификате соответствия Модуля (программного обеспечения) требованиям нормативной документации ГОСТ Р </w:t>
      </w:r>
      <w:r>
        <w:rPr>
          <w:rStyle w:val="CharStyle18"/>
          <w:lang w:val="en-US" w:eastAsia="en-US"/>
        </w:rPr>
        <w:t xml:space="preserve">8.654-2015, </w:t>
      </w:r>
      <w:r>
        <w:rPr>
          <w:rStyle w:val="CharStyle18"/>
        </w:rPr>
        <w:t xml:space="preserve">ГОСТ Р </w:t>
      </w:r>
      <w:r>
        <w:rPr>
          <w:rStyle w:val="CharStyle18"/>
          <w:lang w:val="en-US" w:eastAsia="en-US"/>
        </w:rPr>
        <w:t xml:space="preserve">8.883-2015 </w:t>
      </w:r>
      <w:r>
        <w:rPr>
          <w:rStyle w:val="CharStyle18"/>
        </w:rPr>
        <w:t xml:space="preserve">в течении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>рабочих дней с даты заключения Контракта».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Данное требование установлено с целью предотвращения негативных последствий, так как применение несертифицированной Системы несет существенные риски обжалования постановлений, сформированных с применением материалов из Системы, а как следствие признание Системы неэффективной и не работающей.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Также Заявителем жалобы не представлены доказательства, свидетельствующие о нарушении его прав и законных интересов, а также доказательств того, что содержащиеся в извещении о проведении закупки требования повлекли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Таким образом, изучив содержание всех представленных пояснений, документов и иной информации, комиссией Управления Федеральной антимонопольной службы не установлено нарушений законодательства о контрактной системе в сфере закупок для государственных и муниципальных нужд в действиях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Жалоба признана необоснованный.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880"/>
        <w:jc w:val="both"/>
      </w:pPr>
      <w:r>
        <w:rPr>
          <w:rStyle w:val="CharStyle18"/>
        </w:rPr>
        <w:t xml:space="preserve">На основании вышеизложенного и руководствуясь 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Федерального закона от 05.04.2013г.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8"/>
          <w:b/>
          <w:bCs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880"/>
        <w:jc w:val="both"/>
      </w:pPr>
      <w:r>
        <w:rPr>
          <w:rStyle w:val="CharStyle18"/>
        </w:rPr>
        <w:t xml:space="preserve">Жалобу ООО «Агентство финансового консалтинга «ФинДирект» </w:t>
      </w:r>
      <w:r>
        <w:rPr>
          <w:rStyle w:val="CharStyle18"/>
          <w:b/>
          <w:bCs/>
        </w:rPr>
        <w:t>признать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880"/>
        <w:jc w:val="both"/>
      </w:pPr>
      <w:r>
        <w:rPr>
          <w:rStyle w:val="CharStyle18"/>
        </w:rPr>
        <w:t>Решение может быть обжаловано в течение трех месяцев со дня его 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10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Style w:val="CharStyle18"/>
        </w:rPr>
        <w:t>Председатель Комиссии</w:t>
        <w:tab/>
        <w:t>Арсланов А.А.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Члены комиссии</w:t>
        <w:tab/>
        <w:t>Агзамова Д.Р.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rStyle w:val="CharStyle18"/>
        </w:rPr>
        <w:t>Шарифуллин Т.А.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10" w:val="left"/>
        </w:tabs>
        <w:bidi w:val="0"/>
        <w:spacing w:before="0" w:after="340" w:line="240" w:lineRule="auto"/>
        <w:ind w:left="0" w:right="0" w:firstLine="0"/>
        <w:jc w:val="both"/>
        <w:rPr>
          <w:sz w:val="28"/>
          <w:szCs w:val="28"/>
        </w:rPr>
      </w:pPr>
      <w:r>
        <w:rPr>
          <w:rStyle w:val="CharStyle18"/>
          <w:sz w:val="28"/>
          <w:szCs w:val="28"/>
        </w:rPr>
        <w:t>Начальник отдела</w:t>
        <w:tab/>
        <w:t>А.А. Арсланов</w:t>
      </w:r>
      <w:r>
        <w:br w:type="page"/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6" w:line="240" w:lineRule="auto"/>
        <w:ind w:left="0" w:right="0" w:firstLine="0"/>
        <w:jc w:val="left"/>
      </w:pPr>
      <w:r>
        <w:drawing>
          <wp:anchor distT="0" distB="0" distL="76200" distR="76200" simplePos="0" relativeHeight="125829379" behindDoc="0" locked="0" layoutInCell="1" allowOverlap="1">
            <wp:simplePos x="0" y="0"/>
            <wp:positionH relativeFrom="page">
              <wp:posOffset>2553970</wp:posOffset>
            </wp:positionH>
            <wp:positionV relativeFrom="margin">
              <wp:posOffset>243840</wp:posOffset>
            </wp:positionV>
            <wp:extent cx="347345" cy="40259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3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494949"/>
        </w:rPr>
        <w:t xml:space="preserve">выдан: </w:t>
      </w:r>
      <w:r>
        <w:rPr>
          <w:rStyle w:val="CharStyle27"/>
          <w:color w:val="000000"/>
        </w:rPr>
        <w:t>Арсланов Анвар Аслямович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№ </w:t>
      </w:r>
      <w:r>
        <w:rPr>
          <w:rStyle w:val="CharStyle27"/>
          <w:lang w:val="en-US" w:eastAsia="en-US"/>
        </w:rPr>
        <w:t>00C05BB3C0A4D0AFCAA57207BD8CA1</w:t>
      </w:r>
      <w:r>
        <w:rPr>
          <w:rStyle w:val="CharStyle27"/>
          <w:color w:val="494949"/>
          <w:lang w:val="en-US" w:eastAsia="en-US"/>
        </w:rPr>
        <w:t>D68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6" w:right="539" w:bottom="1226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494949"/>
        </w:rPr>
        <w:t xml:space="preserve">24.10.2024 по </w:t>
      </w:r>
      <w:r>
        <w:rPr>
          <w:rStyle w:val="CharStyle27"/>
        </w:rPr>
        <w:t>17.01.2026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1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Исп.Шарифуллин Т.А. 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8638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9989185</wp:posOffset>
              </wp:positionV>
              <wp:extent cx="7378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2025-10063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86.55000000000007pt;width:58.1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7378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2025-10063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8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2025-10063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25">
    <w:name w:val="Body text (7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character" w:customStyle="1" w:styleId="CharStyle27">
    <w:name w:val="Body text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24">
    <w:name w:val="Body text (7)"/>
    <w:basedOn w:val="Normal"/>
    <w:link w:val="CharStyle25"/>
    <w:pPr>
      <w:widowControl w:val="0"/>
      <w:shd w:val="clear" w:color="auto" w:fill="auto"/>
      <w:spacing w:after="1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paragraph" w:customStyle="1" w:styleId="Style26">
    <w:name w:val="Body text (3)"/>
    <w:basedOn w:val="Normal"/>
    <w:link w:val="CharStyle27"/>
    <w:pPr>
      <w:widowControl w:val="0"/>
      <w:shd w:val="clear" w:color="auto" w:fill="auto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