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26260" distL="1068705" distR="1094740" simplePos="0" relativeHeight="125829378" behindDoc="0" locked="0" layoutInCell="1" allowOverlap="1">
            <wp:simplePos x="0" y="0"/>
            <wp:positionH relativeFrom="page">
              <wp:posOffset>1979295</wp:posOffset>
            </wp:positionH>
            <wp:positionV relativeFrom="paragraph">
              <wp:posOffset>12700</wp:posOffset>
            </wp:positionV>
            <wp:extent cx="569595" cy="63817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9595" cy="6381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27710" distB="635" distL="114300" distR="114300" simplePos="0" relativeHeight="125829379" behindDoc="0" locked="0" layoutInCell="1" allowOverlap="1">
                <wp:simplePos x="0" y="0"/>
                <wp:positionH relativeFrom="page">
                  <wp:posOffset>1024890</wp:posOffset>
                </wp:positionH>
                <wp:positionV relativeFrom="paragraph">
                  <wp:posOffset>740410</wp:posOffset>
                </wp:positionV>
                <wp:extent cx="2502535" cy="173418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02535" cy="1734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2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sz w:val="17"/>
                                <w:szCs w:val="17"/>
                                <w:lang w:val="en-US" w:eastAsia="en-US"/>
                              </w:rPr>
                              <w:t xml:space="preserve">- </w:t>
                            </w:r>
                            <w:r>
                              <w:rPr>
                                <w:rStyle w:val="CharStyle3"/>
                                <w:sz w:val="17"/>
                                <w:szCs w:val="17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62" w:lineRule="auto"/>
                              <w:ind w:left="0" w:right="0" w:firstLine="54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sz w:val="17"/>
                                <w:szCs w:val="17"/>
                              </w:rPr>
                              <w:t>АНТ</w:t>
                            </w:r>
                            <w:r>
                              <w:rPr>
                                <w:rStyle w:val="CharStyle3"/>
                                <w:sz w:val="17"/>
                                <w:szCs w:val="17"/>
                                <w:u w:val="single"/>
                              </w:rPr>
                              <w:t>ИМОН</w:t>
                            </w:r>
                            <w:r>
                              <w:rPr>
                                <w:rStyle w:val="CharStyle3"/>
                                <w:sz w:val="17"/>
                                <w:szCs w:val="17"/>
                              </w:rPr>
                              <w:t>О»ЮЛЬНАЯ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Феаера яьной ал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i </w:t>
                            </w:r>
                            <w:r>
                              <w:rPr>
                                <w:rStyle w:val="CharStyle3"/>
                              </w:rPr>
                              <w:t>и^йпгопольлом службы</w:t>
                              <w:br/>
                              <w:t>по-Ставропольскому краю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657" w:val="left"/>
                              </w:tabs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ул. Лени ..,-354. г.-С:.. у:</w:t>
                              <w:tab/>
                              <w:t>355503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60" w:line="240" w:lineRule="auto"/>
                              <w:ind w:left="160" w:right="0" w:firstLine="0"/>
                              <w:jc w:val="center"/>
                            </w:pPr>
                            <w:r>
                              <w:rPr>
                                <w:rStyle w:val="CharStyle7"/>
                              </w:rPr>
                              <w:t>тел. (8652) 2.5-74-05. ф ' уА2) 35-28-09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 xml:space="preserve">/^.^^ ж </w:t>
                            </w:r>
                            <w:r>
                              <w:rPr>
                                <w:rStyle w:val="CharStyle9"/>
                                <w:u w:val="single"/>
                              </w:rPr>
                              <w:t>ж/ж^з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80.700000000000003pt;margin-top:58.300000000000004pt;width:197.05000000000001pt;height:136.55000000000001pt;z-index:-125829374;mso-wrap-distance-left:9.pt;mso-wrap-distance-top:57.300000000000004pt;mso-wrap-distance-right:9.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sz w:val="17"/>
                          <w:szCs w:val="17"/>
                          <w:lang w:val="en-US" w:eastAsia="en-US"/>
                        </w:rPr>
                        <w:t xml:space="preserve">- </w:t>
                      </w:r>
                      <w:r>
                        <w:rPr>
                          <w:rStyle w:val="CharStyle3"/>
                          <w:sz w:val="17"/>
                          <w:szCs w:val="17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62" w:lineRule="auto"/>
                        <w:ind w:left="0" w:right="0" w:firstLine="54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sz w:val="17"/>
                          <w:szCs w:val="17"/>
                        </w:rPr>
                        <w:t>АНТ</w:t>
                      </w:r>
                      <w:r>
                        <w:rPr>
                          <w:rStyle w:val="CharStyle3"/>
                          <w:sz w:val="17"/>
                          <w:szCs w:val="17"/>
                          <w:u w:val="single"/>
                        </w:rPr>
                        <w:t>ИМОН</w:t>
                      </w:r>
                      <w:r>
                        <w:rPr>
                          <w:rStyle w:val="CharStyle3"/>
                          <w:sz w:val="17"/>
                          <w:szCs w:val="17"/>
                        </w:rPr>
                        <w:t>О»ЮЛЬНАЯ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Феаера яьной ал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i </w:t>
                      </w:r>
                      <w:r>
                        <w:rPr>
                          <w:rStyle w:val="CharStyle3"/>
                        </w:rPr>
                        <w:t>и^йпгопольлом службы</w:t>
                        <w:br/>
                        <w:t>по-Ставропольскому краю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657" w:val="left"/>
                        </w:tabs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7"/>
                        </w:rPr>
                        <w:t>ул. Лени ..,-354. г.-С:.. у:</w:t>
                        <w:tab/>
                        <w:t>355503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60" w:line="240" w:lineRule="auto"/>
                        <w:ind w:left="160" w:right="0" w:firstLine="0"/>
                        <w:jc w:val="center"/>
                      </w:pPr>
                      <w:r>
                        <w:rPr>
                          <w:rStyle w:val="CharStyle7"/>
                        </w:rPr>
                        <w:t>тел. (8652) 2.5-74-05. ф ' уА2) 35-28-09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 xml:space="preserve">/^.^^ ж </w:t>
                      </w:r>
                      <w:r>
                        <w:rPr>
                          <w:rStyle w:val="CharStyle9"/>
                          <w:u w:val="single"/>
                        </w:rPr>
                        <w:t>ж/ж^з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500"/>
        <w:jc w:val="left"/>
      </w:pPr>
      <w:r>
        <w:rPr>
          <w:rStyle w:val="CharStyle12"/>
        </w:rPr>
        <w:t>Заявитель: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500"/>
        <w:jc w:val="left"/>
      </w:pPr>
      <w:r>
        <w:rPr>
          <w:rStyle w:val="CharStyle12"/>
        </w:rPr>
        <w:t>ИП Лейбман Алексей Михайлович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66" w:lineRule="auto"/>
        <w:ind w:left="500" w:right="0" w:firstLine="0"/>
        <w:jc w:val="left"/>
      </w:pPr>
      <w:r>
        <w:rPr>
          <w:rStyle w:val="CharStyle12"/>
        </w:rPr>
        <w:t xml:space="preserve">117452, г. Москва, пр-т Балаклавский, д. 1 </w:t>
      </w:r>
      <w:r>
        <w:fldChar w:fldCharType="begin"/>
      </w:r>
      <w:r>
        <w:rPr/>
        <w:instrText> HYPERLINK "mailto:alex@leybman.net" </w:instrText>
      </w:r>
      <w:r>
        <w:fldChar w:fldCharType="separate"/>
      </w:r>
      <w:r>
        <w:rPr>
          <w:rStyle w:val="CharStyle12"/>
          <w:u w:val="single"/>
          <w:lang w:val="en-US" w:eastAsia="en-US"/>
        </w:rPr>
        <w:t>alex@leybman.net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500" w:right="0" w:firstLine="0"/>
        <w:jc w:val="left"/>
      </w:pPr>
      <w:r>
        <w:rPr>
          <w:rStyle w:val="CharStyle12"/>
        </w:rPr>
        <w:t>Заказчик: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500" w:right="0" w:firstLine="0"/>
        <w:jc w:val="left"/>
      </w:pPr>
      <w:r>
        <w:rPr>
          <w:rStyle w:val="CharStyle12"/>
        </w:rPr>
        <w:t>ГБУЗ СК «Краевой центр специализированных видов медицинской помощи № 1»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40" w:line="264" w:lineRule="auto"/>
        <w:ind w:left="4760" w:right="0" w:hanging="4260"/>
        <w:jc w:val="left"/>
      </w:pPr>
      <w:r>
        <w:rPr>
          <w:rStyle w:val="CharStyle12"/>
        </w:rPr>
        <w:t xml:space="preserve">356800, Ставропольский край, г. Буденновск, пр. Калинина, д. 2 </w:t>
      </w:r>
      <w:r>
        <w:fldChar w:fldCharType="begin"/>
      </w:r>
      <w:r>
        <w:rPr/>
        <w:instrText> HYPERLINK "mailto:bkcsvmp_1_@mail.ru" </w:instrText>
      </w:r>
      <w:r>
        <w:fldChar w:fldCharType="separate"/>
      </w:r>
      <w:r>
        <w:rPr>
          <w:rStyle w:val="CharStyle12"/>
          <w:u w:val="single"/>
          <w:lang w:val="en-US" w:eastAsia="en-US"/>
        </w:rPr>
        <w:t xml:space="preserve">bkcsvmp </w:t>
      </w:r>
      <w:r>
        <w:rPr>
          <w:rStyle w:val="CharStyle12"/>
          <w:u w:val="single"/>
        </w:rPr>
        <w:t xml:space="preserve">1 </w:t>
      </w:r>
      <w:r>
        <w:rPr>
          <w:rStyle w:val="CharStyle12"/>
          <w:u w:val="single"/>
          <w:lang w:val="en-US" w:eastAsia="en-US"/>
        </w:rPr>
        <w:t>@mail.ru</w:t>
      </w:r>
      <w:r>
        <w:fldChar w:fldCharType="end"/>
      </w:r>
      <w:r>
        <w:rPr>
          <w:rStyle w:val="CharStyle12"/>
          <w:lang w:val="en-US" w:eastAsia="en-US"/>
        </w:rPr>
        <w:t xml:space="preserve">, </w:t>
      </w:r>
      <w:r>
        <w:fldChar w:fldCharType="begin"/>
      </w:r>
      <w:r>
        <w:rPr/>
        <w:instrText> HYPERLINK "mailto:torgi_2016@bk.ru" </w:instrText>
      </w:r>
      <w:r>
        <w:fldChar w:fldCharType="separate"/>
      </w:r>
      <w:r>
        <w:rPr>
          <w:rStyle w:val="CharStyle12"/>
          <w:u w:val="single"/>
          <w:lang w:val="en-US" w:eastAsia="en-US"/>
        </w:rPr>
        <w:t xml:space="preserve">torgi </w:t>
      </w:r>
      <w:r>
        <w:rPr>
          <w:rStyle w:val="CharStyle12"/>
          <w:u w:val="single"/>
        </w:rPr>
        <w:t>201</w:t>
      </w:r>
      <w:r>
        <w:rPr>
          <w:rStyle w:val="CharStyle12"/>
          <w:u w:val="single"/>
          <w:lang w:val="en-US" w:eastAsia="en-US"/>
        </w:rPr>
        <w:t>6@bk.ru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15"/>
        </w:rPr>
        <w:t>решение 1939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071" w:val="left"/>
        </w:tabs>
        <w:bidi w:val="0"/>
        <w:spacing w:before="0" w:after="300" w:line="254" w:lineRule="auto"/>
        <w:ind w:left="0" w:right="0" w:firstLine="0"/>
        <w:jc w:val="center"/>
      </w:pPr>
      <w:r>
        <w:rPr>
          <w:rStyle w:val="CharStyle12"/>
          <w:b/>
          <w:bCs/>
          <w:sz w:val="26"/>
          <w:szCs w:val="26"/>
        </w:rPr>
        <w:t>РЕШЕНИЕ</w:t>
        <w:br/>
      </w:r>
      <w:r>
        <w:rPr>
          <w:rStyle w:val="CharStyle12"/>
        </w:rPr>
        <w:t>по делу № 026/06/106-1939/2025</w:t>
        <w:br/>
        <w:t>о нарушении законодательства о закупках</w:t>
        <w:br/>
        <w:t>04.09.2025 года _</w:t>
        <w:tab/>
        <w:t>г. Ставрополь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3795" w:val="left"/>
        </w:tabs>
        <w:bidi w:val="0"/>
        <w:spacing w:before="0" w:after="0" w:line="262" w:lineRule="auto"/>
        <w:ind w:left="0" w:right="0" w:firstLine="680"/>
        <w:jc w:val="both"/>
      </w:pPr>
      <w:r>
        <w:rPr>
          <w:rStyle w:val="CharStyle12"/>
        </w:rPr>
        <w:t>Комиссия. Управления</w:t>
        <w:tab/>
        <w:t>Федеральной антимонопольной службы по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12"/>
        </w:rPr>
        <w:t>Ставропольскому кракхпо контролю в сфере закупок (далее - Комиссия)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12"/>
        </w:rPr>
        <w:t>Председателя Комиссии, заместителя руководителя Управления Федеральной антимонопольной службы по Ставропольскому краю Е.А. Соколова,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62" w:lineRule="auto"/>
        <w:ind w:left="0" w:right="0" w:firstLine="700"/>
        <w:jc w:val="both"/>
      </w:pPr>
      <w:r>
        <w:rPr>
          <w:rStyle w:val="CharStyle12"/>
        </w:rPr>
        <w:t>ведущего., специалиста-эксперта отдела контроля закупок Управления Федеральной антимонопольной службы по Ставропольскому краю А.И. Хатуевой, специалиста-эксперта отдела контроля закупок Управления Федеральной антимонопольной службы по Ставропольскому краю П.В. Поповой,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64" w:lineRule="auto"/>
        <w:ind w:left="0" w:right="0" w:firstLine="700"/>
        <w:jc w:val="left"/>
      </w:pPr>
      <w:r>
        <w:rPr>
          <w:rStyle w:val="CharStyle12"/>
        </w:rPr>
        <w:t>в присутствии ИП Лейбмана А.М. лично посредством виде-конференц связи, ГБУЗ</w:t>
      </w:r>
      <w:r>
        <w:rPr>
          <w:rStyle w:val="CharStyle12"/>
          <w:vertAlign w:val="superscript"/>
        </w:rPr>
        <w:t>-</w:t>
      </w:r>
      <w:r>
        <w:rPr>
          <w:rStyle w:val="CharStyle12"/>
        </w:rPr>
        <w:t xml:space="preserve"> СК «Краевой центр специализированных видов медицинской помощи № 1» заявлено ходатайство о рассмотрении дела в отсутствие представителей,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12"/>
          <w:b/>
          <w:bCs/>
          <w:sz w:val="26"/>
          <w:szCs w:val="26"/>
        </w:rPr>
        <w:t>УСТАНОВИЛА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12"/>
        </w:rPr>
        <w:t>31.0842025 г. в Управление Федеральной антимонопольной службы по Ставропольскому краю (далее - Управление) поступила жалоба ИП Лейбмана А.М. (далее - Заявитель) на действия ГБУЗ СК «Краевой центр специализированных видов медицинской тюмощи № 1» (далее - Заказчик) по факту осуществления закупки путем проведения запроса котировок в электронной форме №0321200015425000327 «Поставка расходных материалов для нужд КДЛ в 2025 году» (далее -^ закупка).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Style w:val="CharStyle18"/>
          <w:lang w:val="en-US" w:eastAsia="en-US"/>
        </w:rPr>
        <w:t xml:space="preserve">mini in </w:t>
      </w:r>
      <w:r>
        <w:rPr>
          <w:rStyle w:val="CharStyle18"/>
        </w:rPr>
        <w:t>II пни пи и</w:t>
      </w:r>
      <w:bookmarkEnd w:id="0"/>
    </w:p>
    <w:p>
      <w:pPr>
        <w:pStyle w:val="Style14"/>
        <w:keepNext w:val="0"/>
        <w:keepLines w:val="0"/>
        <w:widowControl w:val="0"/>
        <w:shd w:val="clear" w:color="auto" w:fill="auto"/>
        <w:tabs>
          <w:tab w:pos="1846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15"/>
        </w:rPr>
        <w:t>2025-11988</w:t>
        <w:tab/>
        <w:t>. -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660"/>
        <w:jc w:val="both"/>
      </w:pPr>
      <w:r>
        <w:rPr>
          <w:rStyle w:val="CharStyle12"/>
        </w:rPr>
        <w:t>Жалоба в порядке ст. ст. 105, 106 Федерального закона от-05.04.2013 № 44-ФЗ «О контрактной системе в сфере закупок товаров, работ, услуг для государственных и муниципальных нужд» (далее - Закон № 44-ФЗ) принята к рассмотрению и назначена на 04.09.2025 г. с вызовом сторон по делу.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660"/>
        <w:jc w:val="both"/>
      </w:pPr>
      <w:r>
        <w:rPr>
          <w:rStyle w:val="CharStyle12"/>
        </w:rPr>
        <w:t>04.09.2025 г. Комиссия, выслушав пояснения присутствующего участника, рассмотрев доводы жалобы, проанализировав имеющиеся' в -деле документы, проведя в соответствии со ст. 99 Закона №44-ФЗ внеплановую проверку закупки установила следующее: ■ -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660"/>
        <w:jc w:val="both"/>
      </w:pPr>
      <w:r>
        <w:rPr>
          <w:rStyle w:val="CharStyle12"/>
        </w:rPr>
        <w:t>21.08.2025 г. Заказчиком опубликовано извещение о проведении закупки (далее - Извещение).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660"/>
        <w:jc w:val="both"/>
      </w:pPr>
      <w:r>
        <w:rPr>
          <w:rStyle w:val="CharStyle12"/>
        </w:rPr>
        <w:t>Начальная (максимальная) цена контракта составила^89 813^,45 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660"/>
        <w:jc w:val="both"/>
      </w:pPr>
      <w:r>
        <w:rPr>
          <w:rStyle w:val="CharStyle12"/>
        </w:rPr>
        <w:t>29.08.2025 г. Заказчиком на официальном сайте ЕИС размещен протокол подведения итогов определения поставщика (подрядчика, _исполнителя) от 29.08.2025 №ИЗК1 (далее - Протокол), на основании которого—Комиссией по осуществлению закупок отклонено 2 заявки из 3 поданных, в том числе заявка Заявителя с идентификационным номером 3.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660"/>
        <w:jc w:val="both"/>
      </w:pPr>
      <w:r>
        <w:rPr>
          <w:rStyle w:val="CharStyle12"/>
        </w:rPr>
        <w:t xml:space="preserve">Основание для отклонения вышеуказанной заявки ,- п. 8 ч, 12 ст. 48 Закона №44-ФЗ «Выявление недостоверной информации содержащийся в закупке: невозможность использования реагента для подсчета ретикулоцитов ДиаФлуор-РЕТ с помощью автоматических гематологических анализаторов </w:t>
      </w:r>
      <w:r>
        <w:rPr>
          <w:rStyle w:val="CharStyle12"/>
          <w:lang w:val="en-US" w:eastAsia="en-US"/>
        </w:rPr>
        <w:t xml:space="preserve">Sysmex </w:t>
      </w:r>
      <w:r>
        <w:rPr>
          <w:rStyle w:val="CharStyle12"/>
        </w:rPr>
        <w:t xml:space="preserve">серии </w:t>
      </w:r>
      <w:r>
        <w:rPr>
          <w:rStyle w:val="CharStyle12"/>
          <w:lang w:val="en-US" w:eastAsia="en-US"/>
        </w:rPr>
        <w:t>XN».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660"/>
        <w:jc w:val="both"/>
      </w:pPr>
      <w:r>
        <w:rPr>
          <w:rStyle w:val="CharStyle12"/>
        </w:rPr>
        <w:t>Заявитель не согласен с основаниями отклонения заявки на участие в закупке, приведенными Комиссией в Протоколе.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660"/>
        <w:jc w:val="both"/>
      </w:pPr>
      <w:r>
        <w:rPr>
          <w:rStyle w:val="CharStyle12"/>
        </w:rPr>
        <w:t>В силу ч. 5 ст. 49 Закона №44-ФЗ,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поставщика— (подрядчика, исполнителя), установленной в извещении об осуществлений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6" w:val="left"/>
        </w:tabs>
        <w:bidi w:val="0"/>
        <w:spacing w:before="0" w:after="0" w:line="266" w:lineRule="auto"/>
        <w:ind w:left="0" w:right="0" w:firstLine="660"/>
        <w:jc w:val="both"/>
      </w:pPr>
      <w:r>
        <w:rPr>
          <w:rStyle w:val="CharStyle12"/>
        </w:rPr>
        <w:t>члены комиссии по осуществлению закупок: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2" w:val="left"/>
        </w:tabs>
        <w:bidi w:val="0"/>
        <w:spacing w:before="0" w:after="0" w:line="266" w:lineRule="auto"/>
        <w:ind w:left="0" w:right="0" w:firstLine="660"/>
        <w:jc w:val="both"/>
      </w:pPr>
      <w:r>
        <w:rPr>
          <w:rStyle w:val="CharStyle12"/>
        </w:rPr>
        <w:t>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неучастие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1-8 части 12 статьи 48 настоящего Федерального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1" w:val="left"/>
        </w:tabs>
        <w:bidi w:val="0"/>
        <w:spacing w:before="0" w:after="0" w:line="266" w:lineRule="auto"/>
        <w:ind w:left="0" w:right="0" w:firstLine="660"/>
        <w:jc w:val="both"/>
        <w:sectPr>
          <w:footerReference w:type="default" r:id="rId7"/>
          <w:footerReference w:type="even" r:id="rId8"/>
          <w:footerReference w:type="first" r:id="rId9"/>
          <w:footnotePr>
            <w:pos w:val="pageBottom"/>
            <w:numFmt w:val="decimal"/>
            <w:numRestart w:val="continuous"/>
          </w:footnotePr>
          <w:pgSz w:w="12240" w:h="15840"/>
          <w:pgMar w:top="885" w:right="1047" w:bottom="942" w:left="147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12"/>
        </w:rPr>
        <w:t>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участие-в закупке, признанной соответствующей извещению об осуществлении закупки, порядковый номер в порядке возрастания минимального ценового предложения ^участника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12"/>
        </w:rPr>
        <w:t>соответствии ео статьей 14 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680"/>
        <w:jc w:val="both"/>
      </w:pPr>
      <w:r>
        <w:rPr>
          <w:rStyle w:val="CharStyle12"/>
        </w:rPr>
        <w:t>2}' заказчик формирует с использованием электронной площадки протокол подведения итогов определения поставщика (подрядчика, исполнителя), который должен-содержать информацию, предусмотренную пунктами 1, 2, 4 - 7 части 17 статьи 48~ттастоящего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680"/>
        <w:jc w:val="both"/>
      </w:pPr>
      <w:r>
        <w:rPr>
          <w:rStyle w:val="CharStyle12"/>
        </w:rPr>
        <w:t>Комиссией установлено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680"/>
        <w:jc w:val="both"/>
      </w:pPr>
      <w:r>
        <w:rPr>
          <w:rStyle w:val="CharStyle12"/>
        </w:rPr>
        <w:t>С</w:t>
      </w:r>
      <w:r>
        <w:rPr>
          <w:rStyle w:val="CharStyle12"/>
          <w:u w:val="single"/>
        </w:rPr>
        <w:t>огла</w:t>
      </w:r>
      <w:r>
        <w:rPr>
          <w:rStyle w:val="CharStyle12"/>
        </w:rPr>
        <w:t>сно Извещению Заказчиком в том числе закупается «Подсчет клеток крови ИВД, набор».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680"/>
        <w:jc w:val="both"/>
      </w:pPr>
      <w:r>
        <w:rPr>
          <w:rStyle w:val="CharStyle12"/>
        </w:rPr>
        <w:t xml:space="preserve">В разделе "«Товарный знак» закупаемого набора для подсчета клеток крови ИВД Заказником установлено: «Наименование предлагаемого к поставке товара участник аукциона указывает строго в соответствии с наименованием изделия согласно свидетельству о государственной регистрации. Информация, содержащаяся в заявке на участие в закупке, не должна допускать двусмысленных толкований. </w:t>
      </w:r>
      <w:r>
        <w:rPr>
          <w:rStyle w:val="CharStyle12"/>
          <w:i/>
          <w:iCs/>
        </w:rPr>
        <w:t>Допускается поставка эквивалента».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680"/>
        <w:jc w:val="both"/>
      </w:pPr>
      <w:r>
        <w:rPr>
          <w:rStyle w:val="CharStyle12"/>
        </w:rPr>
        <w:t>Заявитель, подавая заявку на участие в закупке согласился с характеристиками данного товара, установленными Заказчиком и предложил к поставке эквивалентный товар. . _ —-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680"/>
        <w:jc w:val="both"/>
      </w:pPr>
      <w:r>
        <w:rPr>
          <w:rStyle w:val="CharStyle12"/>
        </w:rPr>
        <w:t xml:space="preserve">Так, к своей заявке Заявитель приложил регистрационное удостоверение и инструкцию по применению предлагаемого товара. Возможность совместного применения предлагаемого товара (Реагента для подсчета ретикулоцитов ДиаФлуор- РЕТ) на гематологических анализаторах </w:t>
      </w:r>
      <w:r>
        <w:rPr>
          <w:rStyle w:val="CharStyle12"/>
          <w:lang w:val="en-US" w:eastAsia="en-US"/>
        </w:rPr>
        <w:t xml:space="preserve">Sysmex </w:t>
      </w:r>
      <w:r>
        <w:rPr>
          <w:rStyle w:val="CharStyle12"/>
        </w:rPr>
        <w:t xml:space="preserve">серии </w:t>
      </w:r>
      <w:r>
        <w:rPr>
          <w:rStyle w:val="CharStyle12"/>
          <w:lang w:val="en-US" w:eastAsia="en-US"/>
        </w:rPr>
        <w:t xml:space="preserve">XN </w:t>
      </w:r>
      <w:r>
        <w:rPr>
          <w:rStyle w:val="CharStyle12"/>
        </w:rPr>
        <w:t>прямо указана в приложенной инструкции. —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680"/>
        <w:jc w:val="both"/>
      </w:pPr>
      <w:r>
        <w:rPr>
          <w:rStyle w:val="CharStyle12"/>
        </w:rPr>
        <w:t>Кроме того, согласно части 4 статьи 38 Федерального закона от 21 ноября 2011 года №323-Ф3 «Об основах охраны здоровья граждан в Российской Федерации» на территории Российской Федерации разрешается обращение медицинских изделий, прошедших государственную регистрацию в порядке, установленном Правительством Российской Федерации, и медицинских изделий, прошедших регистрацию— в ~ соответствии с международными договорами и актами, составляющими право Евразийского экономического союза.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680"/>
        <w:jc w:val="both"/>
      </w:pPr>
      <w:r>
        <w:rPr>
          <w:rStyle w:val="CharStyle12"/>
        </w:rPr>
        <w:t>В соответствии с пунктом 11 Особенностей обращения, включая особенности государственной регистрации,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характера, утвержденных Постановлением Правительства Российской Федерации от 1 апреля 2022 года №552 (далее - Постановление №552), возможно применение медицинского изделия, производителем (изготовителем) которого в эксплуатационной документации установлен ограниченный перечень расходных материалов, с расходным материалом иного производителя (изготовителя), зарегистрированным в качестве медицинского изделия, -если "производитель (изготовитель) подтвердил в процессе его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12"/>
        </w:rPr>
        <w:t xml:space="preserve">государственной регистрации возможность совместного применения с данным медицинским изделием. При этом </w:t>
      </w:r>
      <w:r>
        <w:rPr>
          <w:rStyle w:val="CharStyle12"/>
          <w:b/>
          <w:bCs/>
          <w:i/>
          <w:iCs/>
        </w:rPr>
        <w:t>совместное применение медицинского изделия с расходным материалом осуществляется с_ учетом -особенностей, установленных в эксплуатационной документации производителя (изготовителя) на расходный материал.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680"/>
        <w:jc w:val="both"/>
      </w:pPr>
      <w:r>
        <w:rPr>
          <w:rStyle w:val="CharStyle12"/>
        </w:rPr>
        <w:t xml:space="preserve">Таким образом, совместимость расходных—материалов с _ медицинским оборудованием может подтверждаться производителем соответствующих расходных материалов в ходе государственной регистрации и дополнительно проверяется и подтверждается Росздравнадзором за счет включения в инструкцию по применению медицинского изделия информации о совместимости с конкретными моделями оборудования иного производителя. Данный вывод подтверждается Письмом Росздравнадзора от 16 апреля 2025 года № 04-22671/25 </w:t>
      </w:r>
      <w:r>
        <w:rPr>
          <w:rStyle w:val="CharStyle12"/>
          <w:lang w:val="en-US" w:eastAsia="en-US"/>
        </w:rPr>
        <w:t xml:space="preserve">«Q </w:t>
      </w:r>
      <w:r>
        <w:rPr>
          <w:rStyle w:val="CharStyle12"/>
        </w:rPr>
        <w:t>предоставлении информации». —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680"/>
        <w:jc w:val="both"/>
      </w:pPr>
      <w:r>
        <w:rPr>
          <w:rStyle w:val="CharStyle12"/>
        </w:rPr>
        <w:t>Таким образом, заявка Заявителя не содержала недостоверных сведений и отклонена комиссией Заказчика в нарушение п. 8 ч. 12 ст. 48 Закона №44-ФЗ.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54" w:lineRule="auto"/>
        <w:ind w:left="0" w:right="0" w:firstLine="680"/>
        <w:jc w:val="both"/>
      </w:pPr>
      <w:r>
        <w:rPr>
          <w:rStyle w:val="CharStyle12"/>
        </w:rPr>
        <w:t>Комиссия, руководствуясь ст. 99, ст. 106 Закона № 44-ФЗ,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12"/>
          <w:b/>
          <w:bCs/>
          <w:sz w:val="26"/>
          <w:szCs w:val="26"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3" w:val="left"/>
        </w:tabs>
        <w:bidi w:val="0"/>
        <w:spacing w:before="0" w:after="0"/>
        <w:ind w:left="0" w:right="0" w:firstLine="680"/>
        <w:jc w:val="both"/>
      </w:pPr>
      <w:r>
        <w:rPr>
          <w:rStyle w:val="CharStyle12"/>
        </w:rPr>
        <w:t>Признать жалобу ИП Лейбмана А.М. на действия ГБУЗ СК «Краевой центр специализированных видов медицинской помощи Ж1» по факту осуществления закупки путем проведения запроса котировок в электронной форме №0321200015425000327 «Поставка расходных материалов "для нужд КДЛ в 2025 году» - обоснованной. ’ —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3" w:val="left"/>
        </w:tabs>
        <w:bidi w:val="0"/>
        <w:spacing w:before="0" w:after="0"/>
        <w:ind w:left="0" w:right="0" w:firstLine="680"/>
        <w:jc w:val="both"/>
      </w:pPr>
      <w:r>
        <w:rPr>
          <w:rStyle w:val="CharStyle12"/>
        </w:rPr>
        <w:t>По результатам проведения в порядке статьи 99 Закона № 44-ФЗ внеплановой проверки признать действия ГБУЗ СК «Краевой центр специализированных видов медицинской помощи № 1» нарушившими-требования п. 8 ч. 12 ст. 48 Закона № 44-ФЗ, в связи с чем выдать обязательное для исполнения предписание. -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3" w:val="left"/>
        </w:tabs>
        <w:bidi w:val="0"/>
        <w:spacing w:before="0" w:after="0"/>
        <w:ind w:left="0" w:right="0" w:firstLine="680"/>
        <w:jc w:val="both"/>
      </w:pPr>
      <w:r>
        <w:rPr>
          <w:rStyle w:val="CharStyle12"/>
        </w:rPr>
        <w:t>Передать должностному лицу Управления материалы данного дела для решения вопроса о возбуждении дела об административном правонарушении по ч. 7 ст. 7.30.1 Кодекса Российской Федерации об административных правонарушениях от 30.12.2001 № 195-ФЗ. '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680"/>
        <w:jc w:val="both"/>
      </w:pPr>
      <w:r>
        <w:rPr>
          <w:rStyle w:val="CharStyle12"/>
        </w:rPr>
        <w:t xml:space="preserve">Настоящее решение может быть обжаловано в судебном порядке в течение трех месяцев со дня его принятия. </w:t>
      </w:r>
      <w:r>
        <w:rPr>
          <w:rStyle w:val="CharStyle12"/>
          <w:lang w:val="en-US" w:eastAsia="en-US"/>
        </w:rPr>
        <w:t xml:space="preserve">h </w:t>
      </w:r>
      <w:r>
        <w:rPr>
          <w:rStyle w:val="CharStyle12"/>
        </w:rPr>
        <w:t>— 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60"/>
        <w:ind w:left="0" w:right="0" w:firstLine="0"/>
        <w:jc w:val="both"/>
      </w:pPr>
      <w:r>
        <w:rPr>
          <w:rStyle w:val="CharStyle12"/>
        </w:rPr>
        <w:t>Председатель комиссии ( ыаМу — Е.А. Соколов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both"/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4610735</wp:posOffset>
            </wp:positionH>
            <wp:positionV relativeFrom="paragraph">
              <wp:posOffset>25400</wp:posOffset>
            </wp:positionV>
            <wp:extent cx="2334895" cy="1294130"/>
            <wp:wrapSquare wrapText="lef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334895" cy="129413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12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5"/>
        </w:rPr>
        <w:t>Исп.Попова П.В.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5"/>
        </w:rPr>
        <w:t>тел.(499) 755-23-23, вн. 026-131</w:t>
      </w:r>
    </w:p>
    <w:sectPr>
      <w:footerReference w:type="default" r:id="rId12"/>
      <w:footerReference w:type="even" r:id="rId13"/>
      <w:footnotePr>
        <w:pos w:val="pageBottom"/>
        <w:numFmt w:val="decimal"/>
        <w:numRestart w:val="continuous"/>
      </w:footnotePr>
      <w:type w:val="continuous"/>
      <w:pgSz w:w="12240" w:h="15840"/>
      <w:pgMar w:top="885" w:right="1047" w:bottom="942" w:left="147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970280</wp:posOffset>
              </wp:positionH>
              <wp:positionV relativeFrom="page">
                <wp:posOffset>9523730</wp:posOffset>
              </wp:positionV>
              <wp:extent cx="608838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883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58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0"/>
                            </w:rPr>
                            <w:t>2025-11988</w:t>
                            <w:tab/>
                            <w:t>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76.400000000000006pt;margin-top:749.89999999999998pt;width:479.40000000000003pt;height:7.9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58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0"/>
                      </w:rPr>
                      <w:t>2025-11988</w:t>
                      <w:tab/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970280</wp:posOffset>
              </wp:positionH>
              <wp:positionV relativeFrom="page">
                <wp:posOffset>9523730</wp:posOffset>
              </wp:positionV>
              <wp:extent cx="608838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883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58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0"/>
                            </w:rPr>
                            <w:t>2025-11988</w:t>
                            <w:tab/>
                            <w:t>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76.400000000000006pt;margin-top:749.89999999999998pt;width:479.40000000000003pt;height:7.9000000000000004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58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0"/>
                      </w:rPr>
                      <w:t>2025-11988</w:t>
                      <w:tab/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1070610</wp:posOffset>
              </wp:positionH>
              <wp:positionV relativeFrom="page">
                <wp:posOffset>9523730</wp:posOffset>
              </wp:positionV>
              <wp:extent cx="5873115" cy="9207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73115" cy="920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24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0"/>
                            </w:rPr>
                            <w:t>2025-11988</w:t>
                            <w:tab/>
                            <w:t>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84.299999999999997pt;margin-top:749.89999999999998pt;width:462.44999999999999pt;height:7.25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24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0"/>
                      </w:rPr>
                      <w:t>2025-11988</w:t>
                      <w:tab/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1096645</wp:posOffset>
              </wp:positionH>
              <wp:positionV relativeFrom="page">
                <wp:posOffset>9523730</wp:posOffset>
              </wp:positionV>
              <wp:extent cx="653415" cy="9715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3415" cy="971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0"/>
                            </w:rPr>
                            <w:t>2025-11988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86.350000000000009pt;margin-top:749.89999999999998pt;width:51.450000000000003pt;height:7.6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0"/>
                      </w:rPr>
                      <w:t>2025-11988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6892925</wp:posOffset>
              </wp:positionH>
              <wp:positionV relativeFrom="page">
                <wp:posOffset>9529445</wp:posOffset>
              </wp:positionV>
              <wp:extent cx="62865" cy="9144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86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0"/>
                            </w:rPr>
                            <w:t>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42.75pt;margin-top:750.35000000000002pt;width:4.9500000000000002pt;height:7.2000000000000002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0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7">
    <w:name w:val="Body text (3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Body text (4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Heading #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w w:val="50"/>
      <w:sz w:val="60"/>
      <w:szCs w:val="60"/>
      <w:u w:val="none"/>
    </w:rPr>
  </w:style>
  <w:style w:type="character" w:customStyle="1" w:styleId="CharStyle20">
    <w:name w:val="Header or footer (2)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160" w:line="250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6">
    <w:name w:val="Body text (3)"/>
    <w:basedOn w:val="Normal"/>
    <w:link w:val="CharStyle7"/>
    <w:pPr>
      <w:widowControl w:val="0"/>
      <w:shd w:val="clear" w:color="auto" w:fill="auto"/>
      <w:spacing w:after="180"/>
      <w:ind w:left="80" w:firstLine="27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Body text (4)"/>
    <w:basedOn w:val="Normal"/>
    <w:link w:val="CharStyle15"/>
    <w:pPr>
      <w:widowControl w:val="0"/>
      <w:shd w:val="clear" w:color="auto" w:fill="auto"/>
      <w:spacing w:after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Heading #1"/>
    <w:basedOn w:val="Normal"/>
    <w:link w:val="CharStyle18"/>
    <w:pPr>
      <w:widowControl w:val="0"/>
      <w:shd w:val="clear" w:color="auto" w:fill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w w:val="50"/>
      <w:sz w:val="60"/>
      <w:szCs w:val="60"/>
      <w:u w:val="none"/>
    </w:rPr>
  </w:style>
  <w:style w:type="paragraph" w:customStyle="1" w:styleId="Style19">
    <w:name w:val="Header or footer (2)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image" Target="media/image2.png"/><Relationship Id="rId11" Type="http://schemas.openxmlformats.org/officeDocument/2006/relationships/image" Target="media/image2.png" TargetMode="External"/><Relationship Id="rId12" Type="http://schemas.openxmlformats.org/officeDocument/2006/relationships/footer" Target="footer4.xml"/><Relationship Id="rId13" Type="http://schemas.openxmlformats.org/officeDocument/2006/relationships/footer" Target="footer5.xml"/></Relationships>
</file>